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Heading2"/>
      </w:pPr>
      <w:r>
        <w:t>1.3</w:t>
      </w:r>
      <w:r>
        <w:tab/>
        <w:t>Summary of change</w:t>
      </w:r>
    </w:p>
    <w:p w:rsidR="00957EA5" w:rsidRDefault="00282503" w:rsidP="00F16AC5">
      <w:proofErr w:type="gramStart"/>
      <w:r>
        <w:t xml:space="preserve">The </w:t>
      </w:r>
      <w:r w:rsidR="004832E0">
        <w:t>uplink</w:t>
      </w:r>
      <w:r w:rsidR="009C3459">
        <w:t xml:space="preserve"> physical layer design</w:t>
      </w:r>
      <w:r w:rsidR="005F61C0">
        <w:t xml:space="preserve"> </w:t>
      </w:r>
      <w:r w:rsidR="009458A8">
        <w:t>of NB-</w:t>
      </w:r>
      <w:r w:rsidR="009C3459">
        <w:t>LTE</w:t>
      </w:r>
      <w:r w:rsidR="004832E0">
        <w:t>.</w:t>
      </w:r>
      <w:proofErr w:type="gramEnd"/>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Heading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 xml:space="preserve">References are either specific (identified by date of publication, edition number, version number, etc.) or </w:t>
      </w:r>
      <w:proofErr w:type="spellStart"/>
      <w:r>
        <w:t>non specific</w:t>
      </w:r>
      <w:proofErr w:type="spellEnd"/>
      <w:r>
        <w:t>.</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lastRenderedPageBreak/>
        <w:t>[7]</w:t>
      </w:r>
      <w:r>
        <w:tab/>
        <w:t>3GPP TS 23.682: "Architecture enhancements to facilitate communications with packet data networks and applications".</w:t>
      </w:r>
    </w:p>
    <w:p w:rsidR="00373232" w:rsidRDefault="00373232" w:rsidP="00373232">
      <w:r>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1" w:author="Y.-P. Eric Wang" w:date="2015-08-04T17:13:00Z">
        <w:r w:rsidRPr="00786555">
          <w:t>[27]     3GPP Technical Specification 36.300, “Evolved Universal Terrestrial Radio Access (E-UTRA) and Evolved Universal Terrestrial Radio Access Network (E-UTRAN); Overall description; Stage 2 (Release 13),” www.3gpp.org.</w:t>
        </w:r>
      </w:ins>
      <w:bookmarkStart w:id="2" w:name="_GoBack"/>
      <w:bookmarkEnd w:id="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9C3459" w:rsidP="005F61C0">
      <w:pPr>
        <w:pStyle w:val="Heading2"/>
        <w:rPr>
          <w:sz w:val="36"/>
        </w:rPr>
      </w:pPr>
      <w:r w:rsidRPr="009C3459">
        <w:rPr>
          <w:sz w:val="36"/>
        </w:rPr>
        <w:t>7.</w:t>
      </w:r>
      <w:r w:rsidR="00B16314">
        <w:rPr>
          <w:sz w:val="36"/>
        </w:rPr>
        <w:t>4</w:t>
      </w:r>
      <w:r w:rsidR="006341D0">
        <w:rPr>
          <w:sz w:val="36"/>
        </w:rPr>
        <w:t>.3</w:t>
      </w:r>
      <w:r w:rsidRPr="009C3459">
        <w:rPr>
          <w:sz w:val="36"/>
        </w:rPr>
        <w:t xml:space="preserve"> </w:t>
      </w:r>
      <w:r w:rsidRPr="009C3459">
        <w:rPr>
          <w:sz w:val="36"/>
        </w:rPr>
        <w:tab/>
      </w:r>
      <w:r w:rsidR="005C1798">
        <w:rPr>
          <w:sz w:val="36"/>
        </w:rPr>
        <w:t>Uplink</w:t>
      </w:r>
      <w:r w:rsidRPr="009C3459">
        <w:rPr>
          <w:sz w:val="36"/>
        </w:rPr>
        <w:t xml:space="preserve"> Physical Layer Design</w:t>
      </w:r>
    </w:p>
    <w:p w:rsidR="00B16314" w:rsidRDefault="00B16314" w:rsidP="00B16314">
      <w:pPr>
        <w:pStyle w:val="Heading3"/>
      </w:pPr>
      <w:r w:rsidRPr="00B16314">
        <w:t>7.</w:t>
      </w:r>
      <w:r>
        <w:t>4</w:t>
      </w:r>
      <w:r w:rsidR="006341D0">
        <w:t>.3</w:t>
      </w:r>
      <w:r w:rsidRPr="00B16314">
        <w:t xml:space="preserve">.1 </w:t>
      </w:r>
      <w:r w:rsidRPr="00B16314">
        <w:tab/>
      </w:r>
      <w:r>
        <w:t>General description</w:t>
      </w:r>
    </w:p>
    <w:p w:rsidR="00326B3A" w:rsidRDefault="00326B3A" w:rsidP="00326B3A">
      <w:pPr>
        <w:jc w:val="both"/>
        <w:rPr>
          <w:rFonts w:eastAsiaTheme="minorEastAsia"/>
        </w:rPr>
      </w:pPr>
      <w:r w:rsidRPr="00326B3A">
        <w:rPr>
          <w:rFonts w:eastAsiaTheme="minorEastAsia"/>
        </w:rPr>
        <w:t xml:space="preserve">Like LTE, uplink NB-LTE is based on SC-FDMA, which allows flexible UE bandwidth allocation. One important aspect for uplink SC-FDMA is to time-align multiple co-scheduled UEs so that the difference in arrival time at the </w:t>
      </w:r>
      <w:proofErr w:type="spellStart"/>
      <w:r w:rsidRPr="00326B3A">
        <w:rPr>
          <w:rFonts w:eastAsiaTheme="minorEastAsia"/>
        </w:rPr>
        <w:t>eNB</w:t>
      </w:r>
      <w:proofErr w:type="spellEnd"/>
      <w:r w:rsidRPr="00326B3A">
        <w:rPr>
          <w:rFonts w:eastAsiaTheme="minorEastAsia"/>
        </w:rPr>
        <w:t xml:space="preserve"> is within the cyclic prefix (CP). Ideally, also for UL 15 kHz sub-carrier spacing should be used in the NB-LTE, but considering the time-accuracy that can be achieved when detecting the PRACH from UEs in extremely poor c</w:t>
      </w:r>
      <w:r>
        <w:rPr>
          <w:rFonts w:eastAsiaTheme="minorEastAsia"/>
        </w:rPr>
        <w:t>overage condition</w:t>
      </w:r>
      <w:r w:rsidRPr="00326B3A">
        <w:rPr>
          <w:rFonts w:eastAsiaTheme="minorEastAsia"/>
        </w:rPr>
        <w:t xml:space="preserve">, the CP duration might need to be increased. One way to achieve that is to reduce the subcarrier spacing of SC-FDMA by a factor of 6, which should be sufficient to accommodate the worst timing estimation and adjustment </w:t>
      </w:r>
      <w:r w:rsidRPr="00326B3A">
        <w:rPr>
          <w:rFonts w:eastAsiaTheme="minorEastAsia"/>
        </w:rPr>
        <w:lastRenderedPageBreak/>
        <w:t xml:space="preserve">inaccuracy expected in NB-LTE, giving rise to 2.5 kHz subcarrier spacing for NB-LTE </w:t>
      </w:r>
      <w:r w:rsidR="00566502">
        <w:rPr>
          <w:rFonts w:eastAsiaTheme="minorEastAsia"/>
        </w:rPr>
        <w:t>M-PUSCH</w:t>
      </w:r>
      <w:r w:rsidRPr="00326B3A">
        <w:rPr>
          <w:rFonts w:eastAsiaTheme="minorEastAsia"/>
        </w:rPr>
        <w:t>. Another motivation for reducing the subcarrier spacing is to allow a higher degree of user multiplexing. For example, one user may be allocated with one single subcarrier. This is more efficient for users in extreme coverage limited conditions as such users do not benefit from being allocated with higher bandwidth while the system capacity increases due to multiple UEs using their maximum TX power simultaneously.</w:t>
      </w:r>
    </w:p>
    <w:p w:rsidR="00534859" w:rsidRPr="00534859" w:rsidRDefault="00534859" w:rsidP="00534859">
      <w:pPr>
        <w:jc w:val="both"/>
        <w:rPr>
          <w:rFonts w:eastAsiaTheme="minorEastAsia"/>
        </w:rPr>
      </w:pPr>
      <w:r w:rsidRPr="00534859">
        <w:rPr>
          <w:rFonts w:eastAsiaTheme="minorEastAsia"/>
        </w:rPr>
        <w:t xml:space="preserve">NB-LTE uplink only supports two physical channels in the uplink, PRACH and </w:t>
      </w:r>
      <w:r w:rsidR="00566502">
        <w:rPr>
          <w:rFonts w:eastAsiaTheme="minorEastAsia"/>
        </w:rPr>
        <w:t>M-PUSCH</w:t>
      </w:r>
      <w:r w:rsidRPr="00534859">
        <w:rPr>
          <w:rFonts w:eastAsiaTheme="minorEastAsia"/>
        </w:rPr>
        <w:t xml:space="preserve">. The use of a dedicated PUCCH, as used in LTE for carrying uplink control information, is not necessary as its function can be integrated to PRACH and </w:t>
      </w:r>
      <w:r w:rsidR="00566502">
        <w:rPr>
          <w:rFonts w:eastAsiaTheme="minorEastAsia"/>
        </w:rPr>
        <w:t>M-PUSCH</w:t>
      </w:r>
      <w:r w:rsidRPr="00534859">
        <w:rPr>
          <w:rFonts w:eastAsiaTheme="minorEastAsia"/>
        </w:rPr>
        <w:t xml:space="preserve">. Due to the data package size of </w:t>
      </w:r>
      <w:proofErr w:type="spellStart"/>
      <w:r w:rsidRPr="00534859">
        <w:rPr>
          <w:rFonts w:eastAsiaTheme="minorEastAsia"/>
        </w:rPr>
        <w:t>CIoT</w:t>
      </w:r>
      <w:proofErr w:type="spellEnd"/>
      <w:r w:rsidRPr="00534859">
        <w:rPr>
          <w:rFonts w:eastAsiaTheme="minorEastAsia"/>
        </w:rPr>
        <w:t xml:space="preserve"> applications, the uplink control information (ACK/NACK for PDSCH) can be multiplexed with the regular data package in </w:t>
      </w:r>
      <w:r w:rsidR="00566502">
        <w:rPr>
          <w:rFonts w:eastAsiaTheme="minorEastAsia"/>
        </w:rPr>
        <w:t>M-PUSCH</w:t>
      </w:r>
      <w:r w:rsidRPr="00534859">
        <w:rPr>
          <w:rFonts w:eastAsiaTheme="minorEastAsia"/>
        </w:rPr>
        <w:t xml:space="preserve">. The </w:t>
      </w:r>
      <w:proofErr w:type="spellStart"/>
      <w:r w:rsidRPr="00534859">
        <w:rPr>
          <w:rFonts w:eastAsiaTheme="minorEastAsia"/>
        </w:rPr>
        <w:t>eNB</w:t>
      </w:r>
      <w:proofErr w:type="spellEnd"/>
      <w:r w:rsidRPr="00534859">
        <w:rPr>
          <w:rFonts w:eastAsiaTheme="minorEastAsia"/>
        </w:rPr>
        <w:t xml:space="preserve"> therefore has to provide an UL grant occurring whenever the feedback for the DL is due. It could either be an ACK/NACK only for the corresponding DL process or an RLC status report. Both options may be considered even though we prefer the former. </w:t>
      </w:r>
    </w:p>
    <w:p w:rsidR="00534859" w:rsidRDefault="00534859" w:rsidP="00534859">
      <w:pPr>
        <w:jc w:val="both"/>
        <w:rPr>
          <w:rFonts w:eastAsiaTheme="minorEastAsia"/>
        </w:rPr>
      </w:pPr>
      <w:r w:rsidRPr="00534859">
        <w:rPr>
          <w:rFonts w:eastAsiaTheme="minorEastAsia"/>
        </w:rPr>
        <w:t xml:space="preserve">The dedicated scheduling request (D-SR) mapped to the PUCCH in LTE is beneficial and efficient for frequent packet arrivals (e.g. during TCP slow start). Considering the traffic patterns expected from </w:t>
      </w:r>
      <w:proofErr w:type="spellStart"/>
      <w:r w:rsidRPr="00534859">
        <w:rPr>
          <w:rFonts w:eastAsiaTheme="minorEastAsia"/>
        </w:rPr>
        <w:t>CIoT</w:t>
      </w:r>
      <w:proofErr w:type="spellEnd"/>
      <w:r w:rsidRPr="00534859">
        <w:rPr>
          <w:rFonts w:eastAsiaTheme="minorEastAsia"/>
        </w:rPr>
        <w:t xml:space="preserve"> applications and the low data rates, a dedicated scheduling request mechanism is not considered beneficial for NB-LTE. Hence, for the initial uplink resource request or when the UE is in idle mode, the PRACH procedures can be used for the uplink resource request.</w:t>
      </w:r>
    </w:p>
    <w:p w:rsidR="00916DA9" w:rsidRDefault="00B16314" w:rsidP="00B16314">
      <w:pPr>
        <w:pStyle w:val="Heading3"/>
        <w:rPr>
          <w:rFonts w:eastAsiaTheme="minorEastAsia"/>
        </w:rPr>
      </w:pPr>
      <w:r>
        <w:rPr>
          <w:rFonts w:eastAsiaTheme="minorEastAsia"/>
        </w:rPr>
        <w:t>7.4</w:t>
      </w:r>
      <w:r w:rsidR="006341D0">
        <w:rPr>
          <w:rFonts w:eastAsiaTheme="minorEastAsia"/>
        </w:rPr>
        <w:t>.3</w:t>
      </w:r>
      <w:r w:rsidRPr="00B16314">
        <w:rPr>
          <w:rFonts w:eastAsiaTheme="minorEastAsia"/>
        </w:rPr>
        <w:t>.2</w:t>
      </w:r>
      <w:r w:rsidRPr="00B16314">
        <w:rPr>
          <w:rFonts w:eastAsiaTheme="minorEastAsia"/>
        </w:rPr>
        <w:tab/>
        <w:t>Time-domain frame and slot structure</w:t>
      </w:r>
    </w:p>
    <w:p w:rsidR="00326B3A" w:rsidRDefault="00326B3A" w:rsidP="00326B3A">
      <w:pPr>
        <w:jc w:val="both"/>
      </w:pPr>
      <w:r>
        <w:t xml:space="preserve">With 2.5 kHz subcarrier spacing, all the uplink time units in NB-LTE are exactly 6 times of the corresponding LTE time units. For example, a radio frame and </w:t>
      </w:r>
      <w:proofErr w:type="spellStart"/>
      <w:r>
        <w:t>subframe</w:t>
      </w:r>
      <w:proofErr w:type="spellEnd"/>
      <w:r>
        <w:t xml:space="preserve"> in uplink NB-LTE are 60 </w:t>
      </w:r>
      <w:proofErr w:type="spellStart"/>
      <w:r>
        <w:t>ms</w:t>
      </w:r>
      <w:proofErr w:type="spellEnd"/>
      <w:r>
        <w:t xml:space="preserve"> and 6 </w:t>
      </w:r>
      <w:proofErr w:type="spellStart"/>
      <w:r>
        <w:t>ms</w:t>
      </w:r>
      <w:proofErr w:type="spellEnd"/>
      <w:r>
        <w:t>, respectively. Like in the case of NB-LTE downlink, we refer to these as M-frame and M-</w:t>
      </w:r>
      <w:proofErr w:type="spellStart"/>
      <w:r>
        <w:t>subframe</w:t>
      </w:r>
      <w:proofErr w:type="spellEnd"/>
      <w:r>
        <w:t xml:space="preserve">, respectively. Figure </w:t>
      </w:r>
      <w:r w:rsidR="00CC7229" w:rsidRPr="00CC7229">
        <w:t>7.4.3.2-1</w:t>
      </w:r>
      <w:r w:rsidR="00CC7229">
        <w:t xml:space="preserve"> </w:t>
      </w:r>
      <w:r>
        <w:t>visualizes how the uplink numerology is stretched in time domain. The NB-LTE carrier comprises of 6 PRBs in frequency domain. Each NB-LTE PRB contains 12 subcarriers. The resulting uplink frame structure based on 2.5 kHz subcarrier spacing is illustrated in</w:t>
      </w:r>
      <w:r w:rsidR="00CC7229">
        <w:t xml:space="preserve"> Figure 7.4.3.2-2</w:t>
      </w:r>
      <w:r>
        <w:t>.</w:t>
      </w:r>
    </w:p>
    <w:p w:rsidR="00326B3A" w:rsidRDefault="00326B3A" w:rsidP="00326B3A">
      <w:pPr>
        <w:jc w:val="both"/>
      </w:pPr>
    </w:p>
    <w:p w:rsidR="00326B3A" w:rsidRDefault="00326B3A" w:rsidP="00326B3A">
      <w:pPr>
        <w:pStyle w:val="Figure"/>
      </w:pPr>
      <w:r w:rsidRPr="00B24C34">
        <w:rPr>
          <w:noProof/>
          <w:lang w:val="en-US" w:eastAsia="zh-TW"/>
        </w:rPr>
        <w:drawing>
          <wp:inline distT="0" distB="0" distL="0" distR="0" wp14:anchorId="04721959" wp14:editId="28430CE7">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p>
    <w:p w:rsidR="00326B3A" w:rsidRPr="00CE085B" w:rsidRDefault="00326B3A" w:rsidP="00326B3A">
      <w:pPr>
        <w:pStyle w:val="Caption"/>
        <w:jc w:val="center"/>
        <w:rPr>
          <w:lang w:eastAsia="zh-CN"/>
        </w:rPr>
      </w:pPr>
      <w:bookmarkStart w:id="3" w:name="_Ref426292669"/>
      <w:r>
        <w:t>Figure</w:t>
      </w:r>
      <w:bookmarkEnd w:id="3"/>
      <w:r w:rsidR="00CC7229">
        <w:t xml:space="preserve"> </w:t>
      </w:r>
      <w:r w:rsidR="00CC7229" w:rsidRPr="00CC7229">
        <w:t>7.4.3.2</w:t>
      </w:r>
      <w:r w:rsidR="00CC7229">
        <w:t>-1</w:t>
      </w:r>
      <w:r>
        <w:t xml:space="preserve">: Stretching uplink numerology in time domain and </w:t>
      </w:r>
      <w:r>
        <w:br/>
        <w:t>thereby reducing subcarrier spacing from 15 kHz to 2.5 kHz</w:t>
      </w:r>
    </w:p>
    <w:p w:rsidR="00326B3A" w:rsidRPr="00287D33" w:rsidRDefault="00326B3A" w:rsidP="00326B3A">
      <w:pPr>
        <w:jc w:val="both"/>
      </w:pPr>
    </w:p>
    <w:p w:rsidR="00326B3A" w:rsidRDefault="00326B3A" w:rsidP="00326B3A">
      <w:pPr>
        <w:pStyle w:val="Figure"/>
      </w:pPr>
      <w:r w:rsidRPr="00F949FD">
        <w:rPr>
          <w:noProof/>
          <w:lang w:val="en-US" w:eastAsia="zh-TW"/>
        </w:rPr>
        <w:lastRenderedPageBreak/>
        <w:drawing>
          <wp:inline distT="0" distB="0" distL="0" distR="0" wp14:anchorId="2F52BBC8" wp14:editId="13FAB489">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p>
    <w:p w:rsidR="00326B3A" w:rsidRDefault="00326B3A" w:rsidP="00326B3A">
      <w:pPr>
        <w:pStyle w:val="Caption"/>
        <w:jc w:val="center"/>
      </w:pPr>
      <w:bookmarkStart w:id="4" w:name="_Ref425929435"/>
      <w:r>
        <w:t>Figure</w:t>
      </w:r>
      <w:bookmarkEnd w:id="4"/>
      <w:r w:rsidR="00CC7229">
        <w:t xml:space="preserve"> 7.4.3.2-2</w:t>
      </w:r>
      <w:r>
        <w:t xml:space="preserve">: </w:t>
      </w:r>
      <w:r w:rsidRPr="00F949FD">
        <w:t xml:space="preserve">Time units for </w:t>
      </w:r>
      <w:r>
        <w:t>uplink</w:t>
      </w:r>
      <w:r w:rsidRPr="00F949FD">
        <w:t xml:space="preserve"> NB-LTE</w:t>
      </w:r>
      <w:r>
        <w:t xml:space="preserve"> based on 2.5 kHz subcarrier spacing</w:t>
      </w:r>
      <w:r w:rsidRPr="00F949FD">
        <w:t>.</w:t>
      </w:r>
    </w:p>
    <w:p w:rsidR="00326B3A" w:rsidRDefault="00326B3A" w:rsidP="00326B3A">
      <w:pPr>
        <w:rPr>
          <w:rFonts w:eastAsiaTheme="minorEastAsia"/>
        </w:rPr>
      </w:pPr>
    </w:p>
    <w:p w:rsidR="00534859" w:rsidRDefault="008F4E64" w:rsidP="008A5EEB">
      <w:pPr>
        <w:pStyle w:val="Heading3"/>
        <w:rPr>
          <w:rFonts w:eastAsiaTheme="minorEastAsia"/>
        </w:rPr>
      </w:pPr>
      <w:r>
        <w:rPr>
          <w:rFonts w:eastAsiaTheme="minorEastAsia"/>
        </w:rPr>
        <w:t>7.4.3.3 Uplink</w:t>
      </w:r>
      <w:r w:rsidR="00534859" w:rsidRPr="00534859">
        <w:rPr>
          <w:rFonts w:eastAsiaTheme="minorEastAsia"/>
        </w:rPr>
        <w:t xml:space="preserve"> transport channels</w:t>
      </w:r>
    </w:p>
    <w:p w:rsidR="006C5C05" w:rsidRDefault="008A5EEB" w:rsidP="006C5C05">
      <w:pPr>
        <w:pStyle w:val="Heading4"/>
        <w:rPr>
          <w:rFonts w:eastAsiaTheme="minorEastAsia"/>
        </w:rPr>
      </w:pPr>
      <w:r>
        <w:rPr>
          <w:rFonts w:eastAsiaTheme="minorEastAsia"/>
        </w:rPr>
        <w:t>7.4.3.3.1</w:t>
      </w:r>
      <w:r w:rsidR="006C5C05" w:rsidRPr="006C5C05">
        <w:rPr>
          <w:rFonts w:eastAsiaTheme="minorEastAsia"/>
        </w:rPr>
        <w:t xml:space="preserve">   </w:t>
      </w:r>
      <w:r w:rsidR="006C5C05">
        <w:rPr>
          <w:rFonts w:eastAsiaTheme="minorEastAsia"/>
        </w:rPr>
        <w:t>Physical random access channel</w:t>
      </w:r>
    </w:p>
    <w:p w:rsidR="008F4E64" w:rsidRDefault="003C7A8A" w:rsidP="008F4E64">
      <w:pPr>
        <w:jc w:val="both"/>
        <w:rPr>
          <w:rFonts w:eastAsiaTheme="minorEastAsia"/>
        </w:rPr>
      </w:pPr>
      <w:r>
        <w:rPr>
          <w:rFonts w:eastAsiaTheme="minorEastAsia"/>
        </w:rPr>
        <w:t>In NB-</w:t>
      </w:r>
      <w:r w:rsidR="008F4E64">
        <w:rPr>
          <w:rFonts w:eastAsiaTheme="minorEastAsia"/>
        </w:rPr>
        <w:t xml:space="preserve">LTE, </w:t>
      </w:r>
      <w:r w:rsidR="008F4E64" w:rsidRPr="005758CE">
        <w:rPr>
          <w:rFonts w:eastAsiaTheme="minorEastAsia"/>
        </w:rPr>
        <w:t>random access serves multiple purposes such as initial access when establishing a radio link, scheduling request, etc. Among others, a main objective of random access is to achieve uplink synchronization, which is important for maintaining the uplink orthogonality.</w:t>
      </w:r>
      <w:r w:rsidR="008F4E64">
        <w:rPr>
          <w:rFonts w:eastAsiaTheme="minorEastAsia"/>
        </w:rPr>
        <w:t xml:space="preserve"> Due to the </w:t>
      </w:r>
      <w:r w:rsidR="008F4E64" w:rsidRPr="006B7365">
        <w:rPr>
          <w:rFonts w:eastAsiaTheme="minorEastAsia"/>
        </w:rPr>
        <w:t>reduced bandwidth</w:t>
      </w:r>
      <w:r w:rsidR="008F4E64">
        <w:rPr>
          <w:rFonts w:eastAsiaTheme="minorEastAsia"/>
        </w:rPr>
        <w:t xml:space="preserve"> </w:t>
      </w:r>
      <w:r>
        <w:rPr>
          <w:rFonts w:eastAsiaTheme="minorEastAsia"/>
        </w:rPr>
        <w:t>in NB-</w:t>
      </w:r>
      <w:r w:rsidR="008F4E64">
        <w:rPr>
          <w:rFonts w:eastAsiaTheme="minorEastAsia"/>
        </w:rPr>
        <w:t xml:space="preserve">LTE, new Random Access Preambles are designed </w:t>
      </w:r>
      <w:r>
        <w:rPr>
          <w:rFonts w:eastAsiaTheme="minorEastAsia"/>
        </w:rPr>
        <w:t>for NB-</w:t>
      </w:r>
      <w:r w:rsidR="008F4E64" w:rsidRPr="006B7365">
        <w:rPr>
          <w:rFonts w:eastAsiaTheme="minorEastAsia"/>
        </w:rPr>
        <w:t>LTE</w:t>
      </w:r>
      <w:r w:rsidR="008F4E64">
        <w:rPr>
          <w:rFonts w:eastAsiaTheme="minorEastAsia"/>
        </w:rPr>
        <w:t xml:space="preserve">. The remaining </w:t>
      </w:r>
      <w:r w:rsidR="008F4E64" w:rsidRPr="006B7365">
        <w:rPr>
          <w:rFonts w:eastAsiaTheme="minorEastAsia"/>
        </w:rPr>
        <w:t>random access procedure f</w:t>
      </w:r>
      <w:r w:rsidR="00373232">
        <w:rPr>
          <w:rFonts w:eastAsiaTheme="minorEastAsia"/>
        </w:rPr>
        <w:t>ollows its counterpart in LTE [27</w:t>
      </w:r>
      <w:r w:rsidR="008F4E64" w:rsidRPr="006B7365">
        <w:rPr>
          <w:rFonts w:eastAsiaTheme="minorEastAsia"/>
        </w:rPr>
        <w:t>].</w:t>
      </w:r>
    </w:p>
    <w:p w:rsidR="008F4E64" w:rsidRPr="0020341E" w:rsidRDefault="008F4E64" w:rsidP="008F4E64">
      <w:pPr>
        <w:pStyle w:val="BodyText"/>
        <w:jc w:val="both"/>
      </w:pPr>
      <w:r w:rsidRPr="00A4477A">
        <w:rPr>
          <w:lang w:val="en-US"/>
        </w:rPr>
        <w:t xml:space="preserve">The multiplexing of PRACH with </w:t>
      </w:r>
      <w:r w:rsidR="00566502">
        <w:rPr>
          <w:lang w:val="en-US"/>
        </w:rPr>
        <w:t>M-PUSCH</w:t>
      </w:r>
      <w:r w:rsidRPr="00A4477A">
        <w:rPr>
          <w:lang w:val="en-US"/>
        </w:rPr>
        <w:t xml:space="preserve"> in NB LTE is shown in</w:t>
      </w:r>
      <w:r>
        <w:t xml:space="preserve"> Figure </w:t>
      </w:r>
      <w:r w:rsidR="008A5EEB">
        <w:t>7.4.3.3</w:t>
      </w:r>
      <w:r w:rsidR="00CC7229">
        <w:t>-1</w:t>
      </w:r>
      <w:r w:rsidRPr="00A4477A">
        <w:rPr>
          <w:lang w:val="en-US"/>
        </w:rPr>
        <w:t xml:space="preserve">. PRACH time-frequency resources can be configured by the base station. </w:t>
      </w:r>
      <w:r w:rsidRPr="007125F2">
        <w:t>When necessary,</w:t>
      </w:r>
      <w:r w:rsidRPr="0020341E">
        <w:t xml:space="preserve"> </w:t>
      </w:r>
      <w:r w:rsidR="00566502">
        <w:t>M-PUSCH</w:t>
      </w:r>
      <w:r w:rsidRPr="0020341E">
        <w:t xml:space="preserve"> can </w:t>
      </w:r>
      <w:r w:rsidRPr="007125F2">
        <w:t>be frequency multiplexed with PRACH in PRACH slots. In the uplink of NB LTE, eight 2.5 kHz edge subcarriers a</w:t>
      </w:r>
      <w:r>
        <w:t xml:space="preserve">re always reserved for </w:t>
      </w:r>
      <w:r w:rsidR="00566502">
        <w:t>M-PUSCH</w:t>
      </w:r>
      <w:r w:rsidRPr="007125F2">
        <w:t>. This leaves 160 kHz bandwidth for PRACH.</w:t>
      </w:r>
    </w:p>
    <w:p w:rsidR="008F4E64" w:rsidRPr="0020341E" w:rsidRDefault="008F4E64" w:rsidP="008F4E64">
      <w:pPr>
        <w:pStyle w:val="BodyText"/>
      </w:pPr>
      <w:r>
        <w:rPr>
          <w:noProof/>
          <w:lang w:val="en-US" w:eastAsia="zh-TW"/>
        </w:rPr>
        <w:drawing>
          <wp:inline distT="0" distB="0" distL="0" distR="0" wp14:anchorId="13ECAD2F" wp14:editId="79BCAD80">
            <wp:extent cx="5250180" cy="254431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50180" cy="2544318"/>
                    </a:xfrm>
                    <a:prstGeom prst="rect">
                      <a:avLst/>
                    </a:prstGeom>
                  </pic:spPr>
                </pic:pic>
              </a:graphicData>
            </a:graphic>
          </wp:inline>
        </w:drawing>
      </w:r>
    </w:p>
    <w:p w:rsidR="008F4E64" w:rsidRPr="0020341E" w:rsidRDefault="008F4E64" w:rsidP="00CC7229">
      <w:pPr>
        <w:pStyle w:val="Caption"/>
        <w:jc w:val="center"/>
      </w:pPr>
      <w:bookmarkStart w:id="5" w:name="_Ref424914760"/>
      <w:r w:rsidRPr="007125F2">
        <w:t xml:space="preserve">Figure </w:t>
      </w:r>
      <w:bookmarkEnd w:id="5"/>
      <w:r w:rsidR="008A5EEB">
        <w:t>7.4.3.3</w:t>
      </w:r>
      <w:r w:rsidR="00CC7229" w:rsidRPr="00CC7229">
        <w:t>-1</w:t>
      </w:r>
      <w:r w:rsidRPr="0020341E">
        <w:t xml:space="preserve">: PRACH multiplexing with </w:t>
      </w:r>
      <w:r w:rsidR="00566502">
        <w:t>M-PUSCH</w:t>
      </w:r>
    </w:p>
    <w:p w:rsidR="008F4E64" w:rsidRPr="00A31637" w:rsidRDefault="008F4E64" w:rsidP="00CC7229">
      <w:pPr>
        <w:pStyle w:val="BodyText"/>
        <w:jc w:val="both"/>
        <w:rPr>
          <w:lang w:eastAsia="ko-KR"/>
        </w:rPr>
      </w:pPr>
      <w:r w:rsidRPr="0020341E">
        <w:rPr>
          <w:lang w:eastAsia="ko-KR"/>
        </w:rPr>
        <w:t xml:space="preserve">Zadoff-Chu sequences based </w:t>
      </w:r>
      <w:r w:rsidRPr="007125F2">
        <w:rPr>
          <w:lang w:eastAsia="ko-KR"/>
        </w:rPr>
        <w:t xml:space="preserve">preambles are </w:t>
      </w:r>
      <w:r w:rsidR="003C7A8A">
        <w:rPr>
          <w:lang w:eastAsia="ko-KR"/>
        </w:rPr>
        <w:t>used in the NB-</w:t>
      </w:r>
      <w:r>
        <w:rPr>
          <w:lang w:eastAsia="ko-KR"/>
        </w:rPr>
        <w:t>LTE PRACH preamble design, and the length is 491</w:t>
      </w:r>
      <w:r w:rsidRPr="007125F2">
        <w:rPr>
          <w:lang w:eastAsia="ko-KR"/>
        </w:rPr>
        <w:t xml:space="preserve">. </w:t>
      </w:r>
      <w:r>
        <w:rPr>
          <w:lang w:eastAsia="ko-KR"/>
        </w:rPr>
        <w:t>Th</w:t>
      </w:r>
      <w:r w:rsidR="003C7A8A">
        <w:rPr>
          <w:lang w:eastAsia="ko-KR"/>
        </w:rPr>
        <w:t>e subcarrier spacing used in NB-</w:t>
      </w:r>
      <w:r>
        <w:rPr>
          <w:lang w:eastAsia="ko-KR"/>
        </w:rPr>
        <w:t xml:space="preserve">LTE PRACH is </w:t>
      </w:r>
      <w:r w:rsidRPr="00A31637">
        <w:rPr>
          <w:lang w:eastAsia="ko-KR"/>
        </w:rPr>
        <w:t>312.5 Hz</w:t>
      </w:r>
      <w:r>
        <w:rPr>
          <w:lang w:eastAsia="ko-KR"/>
        </w:rPr>
        <w:t xml:space="preserve">. </w:t>
      </w:r>
      <w:r w:rsidRPr="0020341E">
        <w:rPr>
          <w:lang w:eastAsia="ko-KR"/>
        </w:rPr>
        <w:t>The proposed design is shown in</w:t>
      </w:r>
      <w:r>
        <w:rPr>
          <w:lang w:eastAsia="ko-KR"/>
        </w:rPr>
        <w:t xml:space="preserve"> Figure </w:t>
      </w:r>
      <w:r w:rsidR="008A5EEB">
        <w:rPr>
          <w:lang w:eastAsia="ko-KR"/>
        </w:rPr>
        <w:t>7.4.3.3</w:t>
      </w:r>
      <w:r w:rsidR="00CC7229">
        <w:rPr>
          <w:lang w:eastAsia="ko-KR"/>
        </w:rPr>
        <w:t xml:space="preserve">-2. </w:t>
      </w:r>
      <w:r w:rsidRPr="007125F2">
        <w:rPr>
          <w:lang w:eastAsia="ko-KR"/>
        </w:rPr>
        <w:t>Furthermore</w:t>
      </w:r>
      <w:r w:rsidRPr="0020341E">
        <w:rPr>
          <w:lang w:eastAsia="ko-KR"/>
        </w:rPr>
        <w:t xml:space="preserve">, </w:t>
      </w:r>
      <w:r>
        <w:rPr>
          <w:lang w:eastAsia="ko-KR"/>
        </w:rPr>
        <w:t xml:space="preserve">the same number of preambles as in LTE, i.e., </w:t>
      </w:r>
      <w:r w:rsidRPr="0020341E">
        <w:rPr>
          <w:lang w:eastAsia="ko-KR"/>
        </w:rPr>
        <w:t>64 preambles</w:t>
      </w:r>
      <w:r>
        <w:rPr>
          <w:lang w:eastAsia="ko-KR"/>
        </w:rPr>
        <w:t>,</w:t>
      </w:r>
      <w:r w:rsidRPr="0020341E">
        <w:rPr>
          <w:lang w:eastAsia="ko-KR"/>
        </w:rPr>
        <w:t xml:space="preserve"> </w:t>
      </w:r>
      <w:r>
        <w:rPr>
          <w:lang w:eastAsia="ko-KR"/>
        </w:rPr>
        <w:t>is</w:t>
      </w:r>
      <w:r w:rsidRPr="007125F2">
        <w:rPr>
          <w:lang w:eastAsia="ko-KR"/>
        </w:rPr>
        <w:t xml:space="preserve"> </w:t>
      </w:r>
      <w:r>
        <w:rPr>
          <w:lang w:eastAsia="ko-KR"/>
        </w:rPr>
        <w:t xml:space="preserve">assumed to be </w:t>
      </w:r>
      <w:r w:rsidR="003C7A8A">
        <w:rPr>
          <w:lang w:eastAsia="ko-KR"/>
        </w:rPr>
        <w:t>available for NB-</w:t>
      </w:r>
      <w:r w:rsidRPr="007125F2">
        <w:rPr>
          <w:lang w:eastAsia="ko-KR"/>
        </w:rPr>
        <w:t xml:space="preserve">LTE. </w:t>
      </w:r>
    </w:p>
    <w:p w:rsidR="008F4E64" w:rsidRPr="0020341E" w:rsidRDefault="008F4E64" w:rsidP="00CC7229">
      <w:pPr>
        <w:pStyle w:val="BodyText"/>
        <w:jc w:val="center"/>
        <w:rPr>
          <w:lang w:eastAsia="ko-KR"/>
        </w:rPr>
      </w:pPr>
      <w:r w:rsidRPr="0020341E">
        <w:rPr>
          <w:noProof/>
          <w:lang w:val="en-US" w:eastAsia="zh-TW"/>
        </w:rPr>
        <w:lastRenderedPageBreak/>
        <w:drawing>
          <wp:inline distT="0" distB="0" distL="0" distR="0" wp14:anchorId="56590800" wp14:editId="3094D59F">
            <wp:extent cx="5250180" cy="254712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50180" cy="2547123"/>
                    </a:xfrm>
                    <a:prstGeom prst="rect">
                      <a:avLst/>
                    </a:prstGeom>
                  </pic:spPr>
                </pic:pic>
              </a:graphicData>
            </a:graphic>
          </wp:inline>
        </w:drawing>
      </w:r>
    </w:p>
    <w:p w:rsidR="008F4E64" w:rsidRPr="007125F2" w:rsidRDefault="008F4E64" w:rsidP="00CC7229">
      <w:pPr>
        <w:pStyle w:val="Caption"/>
        <w:jc w:val="center"/>
        <w:rPr>
          <w:lang w:eastAsia="ko-KR"/>
        </w:rPr>
      </w:pPr>
      <w:bookmarkStart w:id="6" w:name="_Ref424919550"/>
      <w:r w:rsidRPr="0020341E">
        <w:t>Figure</w:t>
      </w:r>
      <w:bookmarkEnd w:id="6"/>
      <w:r>
        <w:t xml:space="preserve"> </w:t>
      </w:r>
      <w:r w:rsidR="008A5EEB">
        <w:t>7.4.3.3</w:t>
      </w:r>
      <w:r w:rsidR="00CC7229">
        <w:t>-2</w:t>
      </w:r>
      <w:r w:rsidRPr="0020341E">
        <w:t>: PRACH preamble length and subcarrier spacing</w:t>
      </w:r>
    </w:p>
    <w:p w:rsidR="008F4E64" w:rsidRPr="007125F2" w:rsidRDefault="008F4E64" w:rsidP="008F4E64">
      <w:pPr>
        <w:pStyle w:val="BodyText"/>
        <w:rPr>
          <w:lang w:eastAsia="ko-KR"/>
        </w:rPr>
      </w:pPr>
      <w:r>
        <w:rPr>
          <w:lang w:val="en-US" w:eastAsia="ko-KR"/>
        </w:rPr>
        <w:t>T</w:t>
      </w:r>
      <w:r w:rsidRPr="00A4477A">
        <w:rPr>
          <w:lang w:val="en-US" w:eastAsia="ko-KR"/>
        </w:rPr>
        <w:t xml:space="preserve">he PRACH slot duration and period can be configured depending on the load and cell size. </w:t>
      </w:r>
      <w:r>
        <w:rPr>
          <w:lang w:val="en-US" w:eastAsia="ko-KR"/>
        </w:rPr>
        <w:t>One</w:t>
      </w:r>
      <w:r>
        <w:rPr>
          <w:lang w:eastAsia="ko-KR"/>
        </w:rPr>
        <w:t xml:space="preserve"> such configuration is provided as follows. </w:t>
      </w:r>
      <w:r w:rsidRPr="00A4477A">
        <w:rPr>
          <w:lang w:val="en-US" w:eastAsia="ko-KR"/>
        </w:rPr>
        <w:t xml:space="preserve">With 312.5 Hz subcarrier spacing, the preamble sequence duration is 3.2 </w:t>
      </w:r>
      <w:proofErr w:type="spellStart"/>
      <w:proofErr w:type="gramStart"/>
      <w:r w:rsidRPr="00A4477A">
        <w:rPr>
          <w:lang w:val="en-US" w:eastAsia="ko-KR"/>
        </w:rPr>
        <w:t>ms</w:t>
      </w:r>
      <w:proofErr w:type="gramEnd"/>
      <w:r w:rsidRPr="00A4477A">
        <w:rPr>
          <w:lang w:val="en-US" w:eastAsia="ko-KR"/>
        </w:rPr>
        <w:t>.</w:t>
      </w:r>
      <w:proofErr w:type="spellEnd"/>
      <w:r w:rsidRPr="00A4477A">
        <w:rPr>
          <w:lang w:val="en-US" w:eastAsia="ko-KR"/>
        </w:rPr>
        <w:t xml:space="preserve"> </w:t>
      </w:r>
      <w:r w:rsidR="003C7A8A">
        <w:rPr>
          <w:lang w:eastAsia="ko-KR"/>
        </w:rPr>
        <w:t>In NB-</w:t>
      </w:r>
      <w:r w:rsidRPr="0020341E">
        <w:rPr>
          <w:lang w:eastAsia="ko-KR"/>
        </w:rPr>
        <w:t>LTE, the basic scheduling unit is M-</w:t>
      </w:r>
      <w:proofErr w:type="spellStart"/>
      <w:r w:rsidRPr="0020341E">
        <w:rPr>
          <w:lang w:eastAsia="ko-KR"/>
        </w:rPr>
        <w:t>subframe</w:t>
      </w:r>
      <w:proofErr w:type="spellEnd"/>
      <w:r w:rsidRPr="0020341E">
        <w:rPr>
          <w:lang w:eastAsia="ko-KR"/>
        </w:rPr>
        <w:t xml:space="preserve"> of 6 </w:t>
      </w:r>
      <w:proofErr w:type="spellStart"/>
      <w:r w:rsidRPr="0020341E">
        <w:rPr>
          <w:lang w:eastAsia="ko-KR"/>
        </w:rPr>
        <w:t>ms</w:t>
      </w:r>
      <w:proofErr w:type="spellEnd"/>
      <w:r w:rsidRPr="0020341E">
        <w:rPr>
          <w:lang w:eastAsia="ko-KR"/>
        </w:rPr>
        <w:t xml:space="preserve">. </w:t>
      </w:r>
      <w:r>
        <w:rPr>
          <w:lang w:eastAsia="ko-KR"/>
        </w:rPr>
        <w:t>Two</w:t>
      </w:r>
      <w:r w:rsidRPr="0020341E">
        <w:rPr>
          <w:lang w:eastAsia="ko-KR"/>
        </w:rPr>
        <w:t xml:space="preserve"> M-</w:t>
      </w:r>
      <w:proofErr w:type="spellStart"/>
      <w:r w:rsidRPr="0020341E">
        <w:rPr>
          <w:lang w:eastAsia="ko-KR"/>
        </w:rPr>
        <w:t>subframes</w:t>
      </w:r>
      <w:proofErr w:type="spellEnd"/>
      <w:r w:rsidRPr="0020341E">
        <w:rPr>
          <w:lang w:eastAsia="ko-KR"/>
        </w:rPr>
        <w:t xml:space="preserve"> constitute one PRACH slot</w:t>
      </w:r>
      <w:r w:rsidRPr="007125F2">
        <w:rPr>
          <w:lang w:eastAsia="ko-KR"/>
        </w:rPr>
        <w:t xml:space="preserve"> of 12 </w:t>
      </w:r>
      <w:proofErr w:type="spellStart"/>
      <w:r w:rsidRPr="007125F2">
        <w:rPr>
          <w:lang w:eastAsia="ko-KR"/>
        </w:rPr>
        <w:t>ms</w:t>
      </w:r>
      <w:proofErr w:type="spellEnd"/>
      <w:r w:rsidRPr="007125F2">
        <w:rPr>
          <w:lang w:eastAsia="ko-KR"/>
        </w:rPr>
        <w:t xml:space="preserve">. Each 12 </w:t>
      </w:r>
      <w:proofErr w:type="spellStart"/>
      <w:r w:rsidRPr="007125F2">
        <w:rPr>
          <w:lang w:eastAsia="ko-KR"/>
        </w:rPr>
        <w:t>ms</w:t>
      </w:r>
      <w:proofErr w:type="spellEnd"/>
      <w:r w:rsidRPr="007125F2">
        <w:rPr>
          <w:lang w:eastAsia="ko-KR"/>
        </w:rPr>
        <w:t xml:space="preserve"> PRACH slot is further divided into three 4 </w:t>
      </w:r>
      <w:proofErr w:type="spellStart"/>
      <w:r w:rsidRPr="007125F2">
        <w:rPr>
          <w:lang w:eastAsia="ko-KR"/>
        </w:rPr>
        <w:t>ms</w:t>
      </w:r>
      <w:proofErr w:type="spellEnd"/>
      <w:r w:rsidRPr="007125F2">
        <w:rPr>
          <w:lang w:eastAsia="ko-KR"/>
        </w:rPr>
        <w:t xml:space="preserve"> PRACH segments. </w:t>
      </w:r>
      <w:r w:rsidRPr="00A4477A">
        <w:rPr>
          <w:lang w:val="en-US" w:eastAsia="ko-KR"/>
        </w:rPr>
        <w:t xml:space="preserve">Since the preamble sequence duration is 3.2 </w:t>
      </w:r>
      <w:proofErr w:type="spellStart"/>
      <w:r w:rsidRPr="00A4477A">
        <w:rPr>
          <w:lang w:val="en-US" w:eastAsia="ko-KR"/>
        </w:rPr>
        <w:t>ms</w:t>
      </w:r>
      <w:proofErr w:type="spellEnd"/>
      <w:r w:rsidRPr="00A4477A">
        <w:rPr>
          <w:lang w:val="en-US" w:eastAsia="ko-KR"/>
        </w:rPr>
        <w:t xml:space="preserve">, there are 0.8 </w:t>
      </w:r>
      <w:proofErr w:type="spellStart"/>
      <w:r w:rsidRPr="00A4477A">
        <w:rPr>
          <w:lang w:val="en-US" w:eastAsia="ko-KR"/>
        </w:rPr>
        <w:t>ms</w:t>
      </w:r>
      <w:proofErr w:type="spellEnd"/>
      <w:r w:rsidRPr="00A4477A">
        <w:rPr>
          <w:lang w:val="en-US" w:eastAsia="ko-KR"/>
        </w:rPr>
        <w:t xml:space="preserve"> resources remaining for </w:t>
      </w:r>
      <w:r>
        <w:rPr>
          <w:lang w:val="en-US" w:eastAsia="ko-KR"/>
        </w:rPr>
        <w:t>CP</w:t>
      </w:r>
      <w:r w:rsidRPr="00A4477A">
        <w:rPr>
          <w:lang w:val="en-US" w:eastAsia="ko-KR"/>
        </w:rPr>
        <w:t xml:space="preserve"> and guard time</w:t>
      </w:r>
      <w:r>
        <w:rPr>
          <w:lang w:val="en-US" w:eastAsia="ko-KR"/>
        </w:rPr>
        <w:t xml:space="preserve">. </w:t>
      </w:r>
      <w:r w:rsidRPr="00A4477A">
        <w:rPr>
          <w:lang w:val="en-US" w:eastAsia="ko-KR"/>
        </w:rPr>
        <w:t xml:space="preserve">A CP of length 0.4 </w:t>
      </w:r>
      <w:proofErr w:type="spellStart"/>
      <w:r w:rsidRPr="00A4477A">
        <w:rPr>
          <w:lang w:val="en-US" w:eastAsia="ko-KR"/>
        </w:rPr>
        <w:t>ms</w:t>
      </w:r>
      <w:proofErr w:type="spellEnd"/>
      <w:r w:rsidRPr="00A4477A">
        <w:rPr>
          <w:lang w:val="en-US" w:eastAsia="ko-KR"/>
        </w:rPr>
        <w:t xml:space="preserve"> is chosen to maximize the coverage. </w:t>
      </w:r>
      <w:r>
        <w:rPr>
          <w:lang w:eastAsia="ko-KR"/>
        </w:rPr>
        <w:t xml:space="preserve">Figure </w:t>
      </w:r>
      <w:r w:rsidR="008A5EEB">
        <w:rPr>
          <w:lang w:eastAsia="ko-KR"/>
        </w:rPr>
        <w:t>7.4.3.3</w:t>
      </w:r>
      <w:r w:rsidR="00CC7229">
        <w:rPr>
          <w:lang w:eastAsia="ko-KR"/>
        </w:rPr>
        <w:t xml:space="preserve">-3 </w:t>
      </w:r>
      <w:r w:rsidRPr="007125F2">
        <w:rPr>
          <w:lang w:eastAsia="ko-KR"/>
        </w:rPr>
        <w:t xml:space="preserve">illustrates the proposed </w:t>
      </w:r>
      <w:r w:rsidRPr="007125F2">
        <w:t>PRACH C</w:t>
      </w:r>
      <w:r>
        <w:t>P and guard time</w:t>
      </w:r>
      <w:r w:rsidRPr="007125F2">
        <w:t xml:space="preserve"> dimensioning.</w:t>
      </w:r>
    </w:p>
    <w:p w:rsidR="008F4E64" w:rsidRPr="007125F2" w:rsidRDefault="008F4E64" w:rsidP="008F4E64">
      <w:pPr>
        <w:pStyle w:val="BodyText"/>
        <w:rPr>
          <w:lang w:eastAsia="ko-KR"/>
        </w:rPr>
      </w:pPr>
      <w:r w:rsidRPr="00F77422">
        <w:rPr>
          <w:noProof/>
          <w:lang w:val="en-US" w:eastAsia="zh-TW"/>
        </w:rPr>
        <w:drawing>
          <wp:inline distT="0" distB="0" distL="0" distR="0" wp14:anchorId="58D404A2" wp14:editId="58C2ACD1">
            <wp:extent cx="5250180" cy="212250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2122509"/>
                    </a:xfrm>
                    <a:prstGeom prst="rect">
                      <a:avLst/>
                    </a:prstGeom>
                  </pic:spPr>
                </pic:pic>
              </a:graphicData>
            </a:graphic>
          </wp:inline>
        </w:drawing>
      </w:r>
    </w:p>
    <w:p w:rsidR="008F4E64" w:rsidRPr="0020341E" w:rsidRDefault="008F4E64" w:rsidP="00CC7229">
      <w:pPr>
        <w:pStyle w:val="Caption"/>
        <w:jc w:val="center"/>
      </w:pPr>
      <w:bookmarkStart w:id="7" w:name="_Ref425154421"/>
      <w:r w:rsidRPr="007125F2">
        <w:t>Figure</w:t>
      </w:r>
      <w:bookmarkEnd w:id="7"/>
      <w:r w:rsidR="008A5EEB">
        <w:t xml:space="preserve"> 7.4.3.3</w:t>
      </w:r>
      <w:r w:rsidR="00CC7229">
        <w:t>-3</w:t>
      </w:r>
      <w:r w:rsidRPr="0020341E">
        <w:t>: PRACH cyclic prefix/guard period dimensioning</w:t>
      </w:r>
    </w:p>
    <w:p w:rsidR="008F4E64" w:rsidRPr="007125F2" w:rsidRDefault="008F4E64" w:rsidP="008F4E64">
      <w:pPr>
        <w:jc w:val="both"/>
      </w:pPr>
      <w:r w:rsidRPr="00A4477A">
        <w:rPr>
          <w:lang w:val="en-US"/>
        </w:rPr>
        <w:t xml:space="preserve">A CP length of 0.4 </w:t>
      </w:r>
      <w:proofErr w:type="spellStart"/>
      <w:r w:rsidRPr="00A4477A">
        <w:rPr>
          <w:lang w:val="en-US"/>
        </w:rPr>
        <w:t>ms</w:t>
      </w:r>
      <w:proofErr w:type="spellEnd"/>
      <w:r w:rsidRPr="00A4477A">
        <w:rPr>
          <w:lang w:val="en-US"/>
        </w:rPr>
        <w:t xml:space="preserve"> can address cell siz</w:t>
      </w:r>
      <w:r>
        <w:rPr>
          <w:lang w:val="en-US"/>
        </w:rPr>
        <w:t>es up to 60 km</w:t>
      </w:r>
      <w:r w:rsidRPr="00A4477A">
        <w:rPr>
          <w:lang w:val="en-US"/>
        </w:rPr>
        <w:t>.</w:t>
      </w:r>
      <w:r>
        <w:rPr>
          <w:lang w:val="en-US"/>
        </w:rPr>
        <w:t xml:space="preserve"> </w:t>
      </w:r>
      <w:r w:rsidRPr="00A4477A">
        <w:rPr>
          <w:lang w:val="en-US"/>
        </w:rPr>
        <w:t xml:space="preserve">Based on the </w:t>
      </w:r>
      <w:r>
        <w:rPr>
          <w:lang w:val="en-US"/>
        </w:rPr>
        <w:t>above CP and guard time</w:t>
      </w:r>
      <w:r w:rsidRPr="00A4477A">
        <w:rPr>
          <w:lang w:val="en-US"/>
        </w:rPr>
        <w:t xml:space="preserve"> </w:t>
      </w:r>
      <w:proofErr w:type="gramStart"/>
      <w:r w:rsidRPr="00A4477A">
        <w:rPr>
          <w:lang w:val="en-US"/>
        </w:rPr>
        <w:t>dimensioning,</w:t>
      </w:r>
      <w:proofErr w:type="gramEnd"/>
      <w:r w:rsidRPr="00A4477A">
        <w:rPr>
          <w:lang w:val="en-US"/>
        </w:rPr>
        <w:t xml:space="preserve"> three PRACH formats are defined in</w:t>
      </w:r>
      <w:r>
        <w:t xml:space="preserve"> Table </w:t>
      </w:r>
      <w:r w:rsidR="008A5EEB">
        <w:t>7.4.3.3</w:t>
      </w:r>
      <w:r w:rsidR="00CC7229" w:rsidRPr="00CC7229">
        <w:t>-1</w:t>
      </w:r>
      <w:r w:rsidRPr="00A4477A">
        <w:rPr>
          <w:lang w:val="en-US"/>
        </w:rPr>
        <w:t xml:space="preserve">. </w:t>
      </w:r>
      <w:r w:rsidRPr="0020341E">
        <w:t>Formats</w:t>
      </w:r>
      <w:r w:rsidRPr="007125F2">
        <w:t xml:space="preserve"> 0, 1, and 2 are respectively used by users in basic, rob</w:t>
      </w:r>
      <w:r w:rsidR="003C7A8A">
        <w:t>ust, and extreme coverage in NB-</w:t>
      </w:r>
      <w:r w:rsidRPr="007125F2">
        <w:t xml:space="preserve">LTE. </w:t>
      </w:r>
    </w:p>
    <w:p w:rsidR="008F4E64" w:rsidRPr="0096520F" w:rsidRDefault="008F4E64" w:rsidP="008F4E64">
      <w:pPr>
        <w:pStyle w:val="ListParagraph"/>
        <w:numPr>
          <w:ilvl w:val="0"/>
          <w:numId w:val="37"/>
        </w:numPr>
        <w:jc w:val="both"/>
        <w:rPr>
          <w:rFonts w:ascii="Times New Roman" w:eastAsia="Times New Roman" w:hAnsi="Times New Roman"/>
          <w:kern w:val="0"/>
          <w:sz w:val="20"/>
          <w:szCs w:val="20"/>
          <w:lang w:val="en-US"/>
        </w:rPr>
      </w:pPr>
      <w:r w:rsidRPr="0096520F">
        <w:rPr>
          <w:rFonts w:ascii="Times New Roman" w:eastAsia="Times New Roman" w:hAnsi="Times New Roman"/>
          <w:kern w:val="0"/>
          <w:sz w:val="20"/>
          <w:szCs w:val="20"/>
          <w:lang w:val="en-US"/>
        </w:rPr>
        <w:t xml:space="preserve">For users in basic coverage, one PRACH segment is sufficient to send their preambles. </w:t>
      </w:r>
    </w:p>
    <w:p w:rsidR="008F4E64" w:rsidRPr="0096520F" w:rsidRDefault="008F4E64" w:rsidP="008F4E64">
      <w:pPr>
        <w:pStyle w:val="ListParagraph"/>
        <w:numPr>
          <w:ilvl w:val="0"/>
          <w:numId w:val="37"/>
        </w:numPr>
        <w:jc w:val="both"/>
        <w:rPr>
          <w:rFonts w:ascii="Times New Roman" w:eastAsia="Times New Roman" w:hAnsi="Times New Roman"/>
          <w:kern w:val="0"/>
          <w:sz w:val="20"/>
          <w:szCs w:val="20"/>
          <w:lang w:val="en-US"/>
        </w:rPr>
      </w:pPr>
      <w:r w:rsidRPr="0096520F">
        <w:rPr>
          <w:rFonts w:ascii="Times New Roman" w:eastAsia="Times New Roman" w:hAnsi="Times New Roman"/>
          <w:kern w:val="0"/>
          <w:sz w:val="20"/>
          <w:szCs w:val="20"/>
          <w:lang w:val="en-US"/>
        </w:rPr>
        <w:t xml:space="preserve">For users in robust coverage, each preamble transmission is repeated six times and thus occupies two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p>
    <w:p w:rsidR="008F4E64" w:rsidRPr="0096520F" w:rsidRDefault="008F4E64" w:rsidP="008F4E64">
      <w:pPr>
        <w:pStyle w:val="ListParagraph"/>
        <w:numPr>
          <w:ilvl w:val="0"/>
          <w:numId w:val="37"/>
        </w:numPr>
        <w:jc w:val="both"/>
        <w:rPr>
          <w:rFonts w:ascii="Times New Roman" w:eastAsia="Times New Roman" w:hAnsi="Times New Roman"/>
          <w:kern w:val="0"/>
          <w:sz w:val="20"/>
          <w:szCs w:val="20"/>
          <w:lang w:val="en-US"/>
        </w:rPr>
      </w:pPr>
      <w:r w:rsidRPr="0096520F">
        <w:rPr>
          <w:rFonts w:ascii="Times New Roman" w:eastAsia="Times New Roman" w:hAnsi="Times New Roman"/>
          <w:kern w:val="0"/>
          <w:sz w:val="20"/>
          <w:szCs w:val="20"/>
          <w:lang w:val="en-US"/>
        </w:rPr>
        <w:t xml:space="preserve">For users in extreme coverage, each preamble transmission is repeated 18 times and thus requires six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p>
    <w:p w:rsidR="008F4E64" w:rsidRPr="0020341E" w:rsidRDefault="008F4E64" w:rsidP="00CC7229">
      <w:pPr>
        <w:pStyle w:val="Caption"/>
        <w:jc w:val="center"/>
      </w:pPr>
      <w:bookmarkStart w:id="8" w:name="_Ref425155854"/>
      <w:r w:rsidRPr="007125F2">
        <w:t>Table</w:t>
      </w:r>
      <w:bookmarkEnd w:id="8"/>
      <w:r w:rsidR="00CC7229">
        <w:t xml:space="preserve"> </w:t>
      </w:r>
      <w:r w:rsidR="008A5EEB">
        <w:t>7.4.3.3</w:t>
      </w:r>
      <w:r w:rsidR="00CC7229" w:rsidRPr="00CC7229">
        <w:t>-1</w:t>
      </w:r>
      <w:r w:rsidRPr="0020341E">
        <w:rPr>
          <w:noProof/>
        </w:rPr>
        <w:t>: PRACH formats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54"/>
        <w:gridCol w:w="1261"/>
        <w:gridCol w:w="1256"/>
        <w:gridCol w:w="1553"/>
      </w:tblGrid>
      <w:tr w:rsidR="008F4E64" w:rsidRPr="007125F2" w:rsidTr="00CF7761">
        <w:tc>
          <w:tcPr>
            <w:tcW w:w="1918" w:type="dxa"/>
            <w:shd w:val="clear" w:color="auto" w:fill="DBE5F1"/>
          </w:tcPr>
          <w:p w:rsidR="008F4E64" w:rsidRPr="007125F2" w:rsidRDefault="008F4E64" w:rsidP="00CF7761">
            <w:pPr>
              <w:jc w:val="both"/>
            </w:pPr>
            <w:r w:rsidRPr="007125F2">
              <w:t>Format</w:t>
            </w:r>
          </w:p>
        </w:tc>
        <w:tc>
          <w:tcPr>
            <w:tcW w:w="1254" w:type="dxa"/>
            <w:shd w:val="clear" w:color="auto" w:fill="DBE5F1"/>
          </w:tcPr>
          <w:p w:rsidR="008F4E64" w:rsidRPr="007125F2" w:rsidRDefault="008F4E64" w:rsidP="00CF7761">
            <w:pPr>
              <w:jc w:val="both"/>
            </w:pPr>
            <w:proofErr w:type="spellStart"/>
            <w:r w:rsidRPr="007125F2">
              <w:t>Tcp</w:t>
            </w:r>
            <w:proofErr w:type="spellEnd"/>
            <w:r w:rsidRPr="007125F2">
              <w:t xml:space="preserve"> (</w:t>
            </w:r>
            <w:proofErr w:type="spellStart"/>
            <w:r w:rsidRPr="007125F2">
              <w:t>ms</w:t>
            </w:r>
            <w:proofErr w:type="spellEnd"/>
            <w:r w:rsidRPr="007125F2">
              <w:t>)</w:t>
            </w:r>
          </w:p>
        </w:tc>
        <w:tc>
          <w:tcPr>
            <w:tcW w:w="1261" w:type="dxa"/>
            <w:shd w:val="clear" w:color="auto" w:fill="DBE5F1"/>
          </w:tcPr>
          <w:p w:rsidR="008F4E64" w:rsidRPr="007125F2" w:rsidRDefault="008F4E64" w:rsidP="00CF7761">
            <w:pPr>
              <w:jc w:val="both"/>
            </w:pPr>
            <w:proofErr w:type="spellStart"/>
            <w:r w:rsidRPr="007125F2">
              <w:t>Tseq</w:t>
            </w:r>
            <w:proofErr w:type="spellEnd"/>
            <w:r w:rsidRPr="007125F2">
              <w:t xml:space="preserve"> (</w:t>
            </w:r>
            <w:proofErr w:type="spellStart"/>
            <w:r w:rsidRPr="007125F2">
              <w:t>ms</w:t>
            </w:r>
            <w:proofErr w:type="spellEnd"/>
            <w:r w:rsidRPr="007125F2">
              <w:t>)</w:t>
            </w:r>
          </w:p>
        </w:tc>
        <w:tc>
          <w:tcPr>
            <w:tcW w:w="1256" w:type="dxa"/>
            <w:shd w:val="clear" w:color="auto" w:fill="DBE5F1"/>
          </w:tcPr>
          <w:p w:rsidR="008F4E64" w:rsidRPr="007125F2" w:rsidRDefault="008F4E64" w:rsidP="00CF7761">
            <w:pPr>
              <w:jc w:val="both"/>
            </w:pPr>
            <w:r w:rsidRPr="007125F2">
              <w:t>Number of repetitions</w:t>
            </w:r>
          </w:p>
        </w:tc>
        <w:tc>
          <w:tcPr>
            <w:tcW w:w="1553" w:type="dxa"/>
            <w:shd w:val="clear" w:color="auto" w:fill="DBE5F1"/>
          </w:tcPr>
          <w:p w:rsidR="008F4E64" w:rsidRPr="007125F2" w:rsidRDefault="008F4E64" w:rsidP="00CF7761">
            <w:pPr>
              <w:jc w:val="both"/>
            </w:pPr>
            <w:r w:rsidRPr="007125F2">
              <w:t>Number of preambles</w:t>
            </w:r>
          </w:p>
        </w:tc>
      </w:tr>
      <w:tr w:rsidR="008F4E64" w:rsidRPr="007125F2" w:rsidTr="00CF7761">
        <w:tc>
          <w:tcPr>
            <w:tcW w:w="1918" w:type="dxa"/>
            <w:shd w:val="clear" w:color="auto" w:fill="auto"/>
          </w:tcPr>
          <w:p w:rsidR="008F4E64" w:rsidRPr="0020341E" w:rsidRDefault="008F4E64" w:rsidP="00CF7761">
            <w:pPr>
              <w:jc w:val="both"/>
            </w:pPr>
            <w:r w:rsidRPr="0020341E">
              <w:lastRenderedPageBreak/>
              <w:t>0</w:t>
            </w:r>
          </w:p>
        </w:tc>
        <w:tc>
          <w:tcPr>
            <w:tcW w:w="1254" w:type="dxa"/>
          </w:tcPr>
          <w:p w:rsidR="008F4E64" w:rsidRPr="007125F2" w:rsidRDefault="008F4E64" w:rsidP="00CF7761">
            <w:pPr>
              <w:jc w:val="both"/>
            </w:pPr>
            <w:r w:rsidRPr="007125F2">
              <w:t>0.4</w:t>
            </w:r>
          </w:p>
        </w:tc>
        <w:tc>
          <w:tcPr>
            <w:tcW w:w="1261" w:type="dxa"/>
          </w:tcPr>
          <w:p w:rsidR="008F4E64" w:rsidRPr="007125F2" w:rsidRDefault="008F4E64" w:rsidP="00CF7761">
            <w:pPr>
              <w:jc w:val="both"/>
            </w:pPr>
            <w:r w:rsidRPr="007125F2">
              <w:t>3.2</w:t>
            </w:r>
          </w:p>
        </w:tc>
        <w:tc>
          <w:tcPr>
            <w:tcW w:w="1256" w:type="dxa"/>
          </w:tcPr>
          <w:p w:rsidR="008F4E64" w:rsidRPr="007125F2" w:rsidRDefault="008F4E64" w:rsidP="00CF7761">
            <w:pPr>
              <w:jc w:val="both"/>
            </w:pPr>
            <w:r w:rsidRPr="007125F2">
              <w:t>1</w:t>
            </w:r>
          </w:p>
        </w:tc>
        <w:tc>
          <w:tcPr>
            <w:tcW w:w="1553" w:type="dxa"/>
            <w:shd w:val="clear" w:color="auto" w:fill="auto"/>
          </w:tcPr>
          <w:p w:rsidR="008F4E64" w:rsidRPr="007125F2" w:rsidRDefault="008F4E64" w:rsidP="00CF7761">
            <w:pPr>
              <w:jc w:val="both"/>
            </w:pPr>
            <w:r w:rsidRPr="007125F2">
              <w:t>N</w:t>
            </w:r>
            <w:r w:rsidRPr="007125F2">
              <w:rPr>
                <w:sz w:val="16"/>
              </w:rPr>
              <w:t>0</w:t>
            </w:r>
          </w:p>
        </w:tc>
      </w:tr>
      <w:tr w:rsidR="008F4E64" w:rsidRPr="007125F2" w:rsidTr="00CF7761">
        <w:tc>
          <w:tcPr>
            <w:tcW w:w="1918" w:type="dxa"/>
            <w:shd w:val="clear" w:color="auto" w:fill="auto"/>
          </w:tcPr>
          <w:p w:rsidR="008F4E64" w:rsidRPr="0020341E" w:rsidRDefault="008F4E64" w:rsidP="00CF7761">
            <w:pPr>
              <w:jc w:val="both"/>
            </w:pPr>
            <w:r w:rsidRPr="0020341E">
              <w:t>1</w:t>
            </w:r>
          </w:p>
        </w:tc>
        <w:tc>
          <w:tcPr>
            <w:tcW w:w="1254" w:type="dxa"/>
          </w:tcPr>
          <w:p w:rsidR="008F4E64" w:rsidRPr="007125F2" w:rsidRDefault="008F4E64" w:rsidP="00CF7761">
            <w:pPr>
              <w:jc w:val="both"/>
            </w:pPr>
            <w:r w:rsidRPr="007125F2">
              <w:t>0.4</w:t>
            </w:r>
          </w:p>
        </w:tc>
        <w:tc>
          <w:tcPr>
            <w:tcW w:w="1261" w:type="dxa"/>
          </w:tcPr>
          <w:p w:rsidR="008F4E64" w:rsidRPr="007125F2" w:rsidRDefault="008F4E64" w:rsidP="00CF7761">
            <w:pPr>
              <w:jc w:val="both"/>
            </w:pPr>
            <w:r w:rsidRPr="007125F2">
              <w:t>3.2</w:t>
            </w:r>
          </w:p>
        </w:tc>
        <w:tc>
          <w:tcPr>
            <w:tcW w:w="1256" w:type="dxa"/>
          </w:tcPr>
          <w:p w:rsidR="008F4E64" w:rsidRPr="007125F2" w:rsidRDefault="008F4E64" w:rsidP="00CF7761">
            <w:pPr>
              <w:jc w:val="both"/>
            </w:pPr>
            <w:r w:rsidRPr="007125F2">
              <w:t>6</w:t>
            </w:r>
          </w:p>
        </w:tc>
        <w:tc>
          <w:tcPr>
            <w:tcW w:w="1553" w:type="dxa"/>
            <w:shd w:val="clear" w:color="auto" w:fill="auto"/>
          </w:tcPr>
          <w:p w:rsidR="008F4E64" w:rsidRPr="007125F2" w:rsidRDefault="008F4E64" w:rsidP="00CF7761">
            <w:pPr>
              <w:jc w:val="both"/>
            </w:pPr>
            <w:r w:rsidRPr="007125F2">
              <w:t>N</w:t>
            </w:r>
            <w:r w:rsidRPr="007125F2">
              <w:rPr>
                <w:sz w:val="16"/>
              </w:rPr>
              <w:t>1</w:t>
            </w:r>
          </w:p>
        </w:tc>
      </w:tr>
      <w:tr w:rsidR="008F4E64" w:rsidRPr="007125F2" w:rsidTr="00CF7761">
        <w:tc>
          <w:tcPr>
            <w:tcW w:w="1918" w:type="dxa"/>
            <w:shd w:val="clear" w:color="auto" w:fill="auto"/>
          </w:tcPr>
          <w:p w:rsidR="008F4E64" w:rsidRPr="0020341E" w:rsidRDefault="008F4E64" w:rsidP="00CF7761">
            <w:pPr>
              <w:jc w:val="both"/>
            </w:pPr>
            <w:r w:rsidRPr="0020341E">
              <w:t>2</w:t>
            </w:r>
          </w:p>
        </w:tc>
        <w:tc>
          <w:tcPr>
            <w:tcW w:w="1254" w:type="dxa"/>
          </w:tcPr>
          <w:p w:rsidR="008F4E64" w:rsidRPr="007125F2" w:rsidRDefault="008F4E64" w:rsidP="00CF7761">
            <w:pPr>
              <w:jc w:val="both"/>
            </w:pPr>
            <w:r w:rsidRPr="007125F2">
              <w:t>0.4</w:t>
            </w:r>
          </w:p>
        </w:tc>
        <w:tc>
          <w:tcPr>
            <w:tcW w:w="1261" w:type="dxa"/>
          </w:tcPr>
          <w:p w:rsidR="008F4E64" w:rsidRPr="007125F2" w:rsidRDefault="008F4E64" w:rsidP="00CF7761">
            <w:pPr>
              <w:jc w:val="both"/>
            </w:pPr>
            <w:r w:rsidRPr="007125F2">
              <w:t>3.2</w:t>
            </w:r>
          </w:p>
        </w:tc>
        <w:tc>
          <w:tcPr>
            <w:tcW w:w="1256" w:type="dxa"/>
          </w:tcPr>
          <w:p w:rsidR="008F4E64" w:rsidRPr="007125F2" w:rsidRDefault="008F4E64" w:rsidP="00CF7761">
            <w:pPr>
              <w:jc w:val="both"/>
            </w:pPr>
            <w:r w:rsidRPr="007125F2">
              <w:t>18</w:t>
            </w:r>
          </w:p>
        </w:tc>
        <w:tc>
          <w:tcPr>
            <w:tcW w:w="1553" w:type="dxa"/>
            <w:shd w:val="clear" w:color="auto" w:fill="auto"/>
          </w:tcPr>
          <w:p w:rsidR="008F4E64" w:rsidRPr="007125F2" w:rsidRDefault="008F4E64" w:rsidP="00CF7761">
            <w:pPr>
              <w:jc w:val="both"/>
            </w:pPr>
            <w:r w:rsidRPr="007125F2">
              <w:t>N</w:t>
            </w:r>
            <w:r w:rsidRPr="007125F2">
              <w:rPr>
                <w:sz w:val="16"/>
              </w:rPr>
              <w:t>2</w:t>
            </w:r>
          </w:p>
        </w:tc>
      </w:tr>
    </w:tbl>
    <w:p w:rsidR="008F4E64" w:rsidRPr="0020341E" w:rsidRDefault="008F4E64" w:rsidP="008F4E64">
      <w:pPr>
        <w:jc w:val="both"/>
      </w:pPr>
    </w:p>
    <w:p w:rsidR="00B16314" w:rsidRDefault="006341D0" w:rsidP="006C5C05">
      <w:pPr>
        <w:pStyle w:val="Heading4"/>
        <w:rPr>
          <w:rFonts w:eastAsiaTheme="minorEastAsia"/>
        </w:rPr>
      </w:pPr>
      <w:r>
        <w:rPr>
          <w:rFonts w:eastAsiaTheme="minorEastAsia"/>
        </w:rPr>
        <w:t>7.4.3.</w:t>
      </w:r>
      <w:r w:rsidR="006C5C05">
        <w:rPr>
          <w:rFonts w:eastAsiaTheme="minorEastAsia"/>
        </w:rPr>
        <w:t>3.2</w:t>
      </w:r>
      <w:r>
        <w:rPr>
          <w:rFonts w:eastAsiaTheme="minorEastAsia"/>
        </w:rPr>
        <w:t xml:space="preserve">   </w:t>
      </w:r>
      <w:r w:rsidRPr="006341D0">
        <w:rPr>
          <w:rFonts w:eastAsiaTheme="minorEastAsia"/>
        </w:rPr>
        <w:t xml:space="preserve">Uplink </w:t>
      </w:r>
      <w:r>
        <w:rPr>
          <w:rFonts w:eastAsiaTheme="minorEastAsia"/>
        </w:rPr>
        <w:t>shared</w:t>
      </w:r>
      <w:r w:rsidRPr="006341D0">
        <w:rPr>
          <w:rFonts w:eastAsiaTheme="minorEastAsia"/>
        </w:rPr>
        <w:t xml:space="preserve"> channels</w:t>
      </w:r>
    </w:p>
    <w:p w:rsidR="008F4E64" w:rsidRDefault="008F4E64" w:rsidP="00BE26B0">
      <w:pPr>
        <w:pStyle w:val="BodyText"/>
        <w:jc w:val="both"/>
      </w:pPr>
      <w:r>
        <w:t>With the time expansion principle there are still 6 PRBs per M-</w:t>
      </w:r>
      <w:proofErr w:type="spellStart"/>
      <w:r>
        <w:t>subframe</w:t>
      </w:r>
      <w:proofErr w:type="spellEnd"/>
      <w:r>
        <w:t xml:space="preserve"> that can be allocated to the </w:t>
      </w:r>
      <w:r w:rsidR="00566502">
        <w:t>M-PUSCH</w:t>
      </w:r>
      <w:r>
        <w:t xml:space="preserve"> of up to 6 UEs. </w:t>
      </w:r>
      <w:r w:rsidRPr="008F4E64">
        <w:t>The provisioning of the corresponding downlink control information as well as a bundling-scheme for spanning a</w:t>
      </w:r>
      <w:r w:rsidR="00566502">
        <w:t>n</w:t>
      </w:r>
      <w:r w:rsidRPr="008F4E64">
        <w:t xml:space="preserve"> </w:t>
      </w:r>
      <w:r w:rsidR="00566502">
        <w:t>M-PUSCH</w:t>
      </w:r>
      <w:r w:rsidRPr="008F4E64">
        <w:t xml:space="preserve"> transport block across multiple M-</w:t>
      </w:r>
      <w:proofErr w:type="spellStart"/>
      <w:r w:rsidR="00BE26B0">
        <w:t>s</w:t>
      </w:r>
      <w:r w:rsidRPr="008F4E64">
        <w:t>ubframes</w:t>
      </w:r>
      <w:proofErr w:type="spellEnd"/>
      <w:r w:rsidRPr="008F4E64">
        <w:t xml:space="preserve"> is described </w:t>
      </w:r>
      <w:r w:rsidR="00BE26B0">
        <w:t xml:space="preserve">subsection </w:t>
      </w:r>
      <w:r w:rsidR="00BE26B0" w:rsidRPr="00BE26B0">
        <w:t>7.4.2.3.2</w:t>
      </w:r>
      <w:r w:rsidRPr="008F4E64">
        <w:t xml:space="preserve">. As for the M-PDSCH we conclude there that </w:t>
      </w:r>
      <w:r w:rsidR="00BE26B0" w:rsidRPr="008F4E64">
        <w:t>an</w:t>
      </w:r>
      <w:r w:rsidRPr="008F4E64">
        <w:t xml:space="preserve"> EPDCCH based design will be </w:t>
      </w:r>
      <w:r w:rsidR="00BE26B0" w:rsidRPr="008F4E64">
        <w:t>favourable</w:t>
      </w:r>
      <w:r w:rsidRPr="008F4E64">
        <w:t xml:space="preserve"> for providing the uplink grants to the UE.</w:t>
      </w:r>
      <w:r>
        <w:t xml:space="preserve"> </w:t>
      </w:r>
      <w:r w:rsidR="00BE26B0">
        <w:t xml:space="preserve">Figure </w:t>
      </w:r>
      <w:r w:rsidR="008A5EEB">
        <w:t>7.4.3.3</w:t>
      </w:r>
      <w:r w:rsidR="00CC7229">
        <w:t xml:space="preserve">-4 </w:t>
      </w:r>
      <w:r>
        <w:t xml:space="preserve">shows that the M-EPDCCH structure outlined in </w:t>
      </w:r>
      <w:r w:rsidR="00BE26B0">
        <w:t>subsection 7.4.2.3.2</w:t>
      </w:r>
      <w:r>
        <w:t xml:space="preserve"> is also well-suited to allocate these M-</w:t>
      </w:r>
      <w:r w:rsidR="00566502">
        <w:t>M-PUSCH</w:t>
      </w:r>
      <w:r>
        <w:t xml:space="preserve"> resources. </w:t>
      </w:r>
    </w:p>
    <w:p w:rsidR="008F4E64" w:rsidRDefault="008F4E64" w:rsidP="008F4E64">
      <w:pPr>
        <w:pStyle w:val="Figure"/>
      </w:pPr>
      <w:r w:rsidRPr="004626F7">
        <w:rPr>
          <w:noProof/>
          <w:lang w:val="en-US" w:eastAsia="zh-TW"/>
        </w:rPr>
        <w:drawing>
          <wp:inline distT="0" distB="0" distL="0" distR="0" wp14:anchorId="3F6CB254" wp14:editId="480229A4">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p>
    <w:p w:rsidR="008F4E64" w:rsidRPr="00287D33" w:rsidRDefault="008F4E64" w:rsidP="00CC7229">
      <w:pPr>
        <w:pStyle w:val="Caption"/>
        <w:jc w:val="center"/>
      </w:pPr>
      <w:bookmarkStart w:id="9" w:name="_Ref426294494"/>
      <w:r>
        <w:t>Figure</w:t>
      </w:r>
      <w:bookmarkEnd w:id="9"/>
      <w:r w:rsidR="00BE26B0">
        <w:t xml:space="preserve"> </w:t>
      </w:r>
      <w:r w:rsidR="008A5EEB">
        <w:t>7.4.3.3</w:t>
      </w:r>
      <w:r w:rsidR="00CC7229">
        <w:t>-4</w:t>
      </w:r>
      <w:r>
        <w:t>: Scheduling M-</w:t>
      </w:r>
      <w:r w:rsidR="00566502">
        <w:t>PUSCH</w:t>
      </w:r>
      <w:r>
        <w:t xml:space="preserve"> resources by M-EPDCCH</w:t>
      </w:r>
    </w:p>
    <w:p w:rsidR="008F4E64" w:rsidRDefault="008F4E64" w:rsidP="00BE26B0">
      <w:pPr>
        <w:pStyle w:val="BodyText"/>
        <w:jc w:val="both"/>
      </w:pPr>
      <w:r>
        <w:t xml:space="preserve">Without any changes, the DCI formats for scheduling the LTE </w:t>
      </w:r>
      <w:r w:rsidR="00566502">
        <w:t>M-PUSCH</w:t>
      </w:r>
      <w:r>
        <w:t xml:space="preserve"> could be re-used to assign M-</w:t>
      </w:r>
      <w:r w:rsidR="00566502">
        <w:t>PUSCH</w:t>
      </w:r>
      <w:r>
        <w:t xml:space="preserve"> resources on a NB-LTE carrier. As mentioned above, it is however desirable to allocate even narrower resources for UEs in bad channel conditions. Due to the time domain expansion a PRB covers now 30 kHz bandwidth, i.e., 12 subcarriers of 2.5 kHz each. In “extreme” coverage (~ 164 dB MCL) it is </w:t>
      </w:r>
      <w:r w:rsidR="00BE26B0">
        <w:t>favourable</w:t>
      </w:r>
      <w:r>
        <w:t xml:space="preserve"> to allocate as little as one subcarrier to a UE. Consequently, the smallest scheduling unit of the M-PUSCH is 6 </w:t>
      </w:r>
      <w:proofErr w:type="spellStart"/>
      <w:r>
        <w:t>ms</w:t>
      </w:r>
      <w:proofErr w:type="spellEnd"/>
      <w:r>
        <w:t xml:space="preserve"> (1 M-</w:t>
      </w:r>
      <w:proofErr w:type="spellStart"/>
      <w:r>
        <w:t>subframe</w:t>
      </w:r>
      <w:proofErr w:type="spellEnd"/>
      <w:r>
        <w:t xml:space="preserve">) in time- and 1 subcarrier (2.5 kHz) in frequency domain. To achieve this, the M-EPDCCH needs to support the additional granularity. </w:t>
      </w:r>
    </w:p>
    <w:p w:rsidR="008F4E64" w:rsidRDefault="008F4E64" w:rsidP="008F4E64">
      <w:pPr>
        <w:pStyle w:val="BodyText"/>
      </w:pPr>
      <w:r>
        <w:t>As for the downlink, a single M-</w:t>
      </w:r>
      <w:proofErr w:type="spellStart"/>
      <w:r>
        <w:t>subframe</w:t>
      </w:r>
      <w:proofErr w:type="spellEnd"/>
      <w:r>
        <w:t xml:space="preserve"> is not sufficient for the M-PUSCH to carry a transport block of reasonable size. Therefore, multiple subsequent M-</w:t>
      </w:r>
      <w:proofErr w:type="spellStart"/>
      <w:r>
        <w:t>subframes</w:t>
      </w:r>
      <w:proofErr w:type="spellEnd"/>
      <w:r>
        <w:t xml:space="preserve"> are bundled and the receiver (</w:t>
      </w:r>
      <w:proofErr w:type="spellStart"/>
      <w:r>
        <w:t>eNB</w:t>
      </w:r>
      <w:proofErr w:type="spellEnd"/>
      <w:r>
        <w:t xml:space="preserve">) accumulates the </w:t>
      </w:r>
      <w:r w:rsidR="00566502">
        <w:t>M-PUSCH</w:t>
      </w:r>
      <w:r>
        <w:t xml:space="preserve"> across all these M-</w:t>
      </w:r>
      <w:proofErr w:type="spellStart"/>
      <w:r>
        <w:t>subframes</w:t>
      </w:r>
      <w:proofErr w:type="spellEnd"/>
      <w:r>
        <w:t>. This in combination with the robust M-EPDCCH transmission is depicted in</w:t>
      </w:r>
      <w:r w:rsidR="00BE26B0">
        <w:t xml:space="preserve"> Figure </w:t>
      </w:r>
      <w:r w:rsidR="008A5EEB">
        <w:t>7.4.3.3</w:t>
      </w:r>
      <w:r w:rsidR="00DE7A09">
        <w:t>-5</w:t>
      </w:r>
      <w:r>
        <w:t xml:space="preserve">. </w:t>
      </w:r>
    </w:p>
    <w:p w:rsidR="008F4E64" w:rsidRDefault="008F4E64" w:rsidP="008F4E64">
      <w:pPr>
        <w:pStyle w:val="Figure"/>
      </w:pPr>
      <w:r w:rsidRPr="004626F7">
        <w:rPr>
          <w:noProof/>
          <w:lang w:val="en-US" w:eastAsia="zh-TW"/>
        </w:rPr>
        <w:lastRenderedPageBreak/>
        <w:drawing>
          <wp:inline distT="0" distB="0" distL="0" distR="0" wp14:anchorId="16044C5A" wp14:editId="3DF1CF05">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p>
    <w:p w:rsidR="008F4E64" w:rsidRPr="008F4E64" w:rsidRDefault="008F4E64" w:rsidP="00DE7A09">
      <w:pPr>
        <w:pStyle w:val="Caption"/>
        <w:jc w:val="center"/>
        <w:rPr>
          <w:lang w:eastAsia="zh-CN"/>
        </w:rPr>
      </w:pPr>
      <w:bookmarkStart w:id="10" w:name="_Ref426296408"/>
      <w:r>
        <w:t>Figure</w:t>
      </w:r>
      <w:bookmarkEnd w:id="10"/>
      <w:r w:rsidR="008A5EEB">
        <w:t xml:space="preserve"> 7.4.3.3</w:t>
      </w:r>
      <w:r w:rsidR="00DE7A09">
        <w:t>-5</w:t>
      </w:r>
      <w:r>
        <w:t xml:space="preserve">: </w:t>
      </w:r>
      <w:r w:rsidRPr="000F623B">
        <w:t>Scheduling M-PUSCH resources by M-EPDCCH</w:t>
      </w:r>
      <w:r>
        <w:t xml:space="preserve"> in extreme coverage</w:t>
      </w:r>
    </w:p>
    <w:p w:rsidR="006341D0" w:rsidRDefault="006341D0" w:rsidP="006341D0">
      <w:pPr>
        <w:pStyle w:val="Heading3"/>
        <w:rPr>
          <w:rFonts w:eastAsiaTheme="minorEastAsia"/>
        </w:rPr>
      </w:pPr>
      <w:r w:rsidRPr="006341D0">
        <w:rPr>
          <w:rFonts w:eastAsiaTheme="minorEastAsia"/>
        </w:rPr>
        <w:t>7.</w:t>
      </w:r>
      <w:r>
        <w:rPr>
          <w:rFonts w:eastAsiaTheme="minorEastAsia"/>
        </w:rPr>
        <w:t>4</w:t>
      </w:r>
      <w:r w:rsidRPr="006341D0">
        <w:rPr>
          <w:rFonts w:eastAsiaTheme="minorEastAsia"/>
        </w:rPr>
        <w:t>.3.</w:t>
      </w:r>
      <w:r w:rsidR="006C5C05">
        <w:rPr>
          <w:rFonts w:eastAsiaTheme="minorEastAsia"/>
        </w:rPr>
        <w:t>4</w:t>
      </w:r>
      <w:r>
        <w:rPr>
          <w:rFonts w:eastAsiaTheme="minorEastAsia"/>
        </w:rPr>
        <w:t xml:space="preserve">   Uplink </w:t>
      </w:r>
      <w:r w:rsidR="00F20E12" w:rsidRPr="00F20E12">
        <w:rPr>
          <w:rFonts w:eastAsiaTheme="minorEastAsia"/>
        </w:rPr>
        <w:t xml:space="preserve">processing </w:t>
      </w:r>
      <w:r w:rsidRPr="006341D0">
        <w:rPr>
          <w:rFonts w:eastAsiaTheme="minorEastAsia"/>
        </w:rPr>
        <w:t>chain</w:t>
      </w:r>
    </w:p>
    <w:p w:rsidR="00F20E12" w:rsidRDefault="00F20E12" w:rsidP="008A5EEB">
      <w:pPr>
        <w:pStyle w:val="BodyText"/>
        <w:jc w:val="both"/>
      </w:pPr>
      <w:r>
        <w:t xml:space="preserve">In NB LTE, SC-FDMA is used for </w:t>
      </w:r>
      <w:r w:rsidRPr="00F20E12">
        <w:t>M-PUSCH</w:t>
      </w:r>
      <w:r>
        <w:t>. The number of subcarriers allocated to a UE is not necessarily an integer multiple of 12. For example, it may be 1 for UEs in very poor coverage condition.</w:t>
      </w:r>
      <w:r w:rsidR="001B7F63">
        <w:t xml:space="preserve"> </w:t>
      </w:r>
      <w:r>
        <w:t>M-PUSCH processing is shown in</w:t>
      </w:r>
      <w:r w:rsidR="001B7F63">
        <w:t xml:space="preserve"> Figure </w:t>
      </w:r>
      <w:r w:rsidR="008A5EEB">
        <w:t>7.4.3.4-1</w:t>
      </w:r>
      <w:r>
        <w:t xml:space="preserve">. </w:t>
      </w:r>
    </w:p>
    <w:p w:rsidR="00CC7229" w:rsidRDefault="00CC7229" w:rsidP="00CC7229">
      <w:pPr>
        <w:pStyle w:val="BodyText"/>
        <w:jc w:val="center"/>
      </w:pPr>
      <w:proofErr w:type="gramStart"/>
      <w:r w:rsidRPr="00CC7229">
        <w:t>gCRC24B(</w:t>
      </w:r>
      <w:proofErr w:type="gramEnd"/>
      <w:r w:rsidRPr="00CC7229">
        <w:t>D) = [D24 + D23 + D6 + D5 + D + 1].</w:t>
      </w:r>
      <w:r w:rsidRPr="00CC7229">
        <w:tab/>
      </w:r>
      <w:r w:rsidRPr="00CC7229">
        <w:tab/>
      </w:r>
      <w:r w:rsidRPr="00CC7229">
        <w:tab/>
        <w:t>(1)</w:t>
      </w:r>
    </w:p>
    <w:p w:rsidR="00F20E12" w:rsidRDefault="00F20E12" w:rsidP="00F20E12">
      <w:pPr>
        <w:pStyle w:val="BodyText"/>
      </w:pPr>
      <w:r w:rsidRPr="00F46E32">
        <w:rPr>
          <w:noProof/>
          <w:lang w:val="en-US" w:eastAsia="zh-TW"/>
        </w:rPr>
        <w:drawing>
          <wp:inline distT="0" distB="0" distL="0" distR="0" wp14:anchorId="009FC0BF" wp14:editId="0BB20F45">
            <wp:extent cx="5250180" cy="1140767"/>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1140767"/>
                    </a:xfrm>
                    <a:prstGeom prst="rect">
                      <a:avLst/>
                    </a:prstGeom>
                    <a:noFill/>
                    <a:ln>
                      <a:noFill/>
                    </a:ln>
                  </pic:spPr>
                </pic:pic>
              </a:graphicData>
            </a:graphic>
          </wp:inline>
        </w:drawing>
      </w:r>
    </w:p>
    <w:p w:rsidR="00F20E12" w:rsidRDefault="00F20E12" w:rsidP="008270A9">
      <w:pPr>
        <w:pStyle w:val="Caption"/>
        <w:jc w:val="center"/>
      </w:pPr>
      <w:bookmarkStart w:id="11" w:name="_Ref426226208"/>
      <w:r>
        <w:t>Figure</w:t>
      </w:r>
      <w:bookmarkEnd w:id="11"/>
      <w:r w:rsidR="008A5EEB">
        <w:t xml:space="preserve"> 7.4.3.4-1</w:t>
      </w:r>
      <w:r>
        <w:t>: M-PUSCH processing.</w:t>
      </w:r>
    </w:p>
    <w:p w:rsidR="00F20E12" w:rsidRDefault="00F20E12" w:rsidP="003B2E8E">
      <w:pPr>
        <w:jc w:val="both"/>
      </w:pPr>
      <w:r>
        <w:t xml:space="preserve">The CRC generation uses the same polynomial as </w:t>
      </w:r>
      <w:r w:rsidR="00676998">
        <w:t>that for generating the CRC for M-</w:t>
      </w:r>
      <w:proofErr w:type="gramStart"/>
      <w:r w:rsidR="00676998">
        <w:t>PDSCH,</w:t>
      </w:r>
      <w:proofErr w:type="gramEnd"/>
      <w:r w:rsidR="00676998">
        <w:t xml:space="preserve"> see </w:t>
      </w:r>
      <w:r>
        <w:t>Equation (1)</w:t>
      </w:r>
      <w:r w:rsidR="00676998">
        <w:t xml:space="preserve"> in </w:t>
      </w:r>
      <w:r w:rsidR="00676998" w:rsidRPr="00676998">
        <w:t>7.4.2.4</w:t>
      </w:r>
      <w:r>
        <w:t>. Channel coding is based the LTE turbo code encoder shown in</w:t>
      </w:r>
      <w:r w:rsidR="004D4590">
        <w:t xml:space="preserve"> Figure 7.4.3.4-2</w:t>
      </w:r>
      <w:r>
        <w:t>. In terms of base station complexity, using convolutional codes is beneficial if the candidate technology is to be supported on legacy GSM/EDGE base stations, as also has been investigated during the GERAN Evolu</w:t>
      </w:r>
      <w:r w:rsidR="003B2E8E">
        <w:t>tion feasibility study</w:t>
      </w:r>
      <w:r>
        <w:t>.</w:t>
      </w:r>
    </w:p>
    <w:p w:rsidR="00F20E12" w:rsidRDefault="00F20E12" w:rsidP="00F20E12">
      <w:r w:rsidRPr="00166363">
        <w:rPr>
          <w:noProof/>
          <w:lang w:val="en-US" w:eastAsia="zh-TW"/>
        </w:rPr>
        <w:lastRenderedPageBreak/>
        <w:drawing>
          <wp:inline distT="0" distB="0" distL="0" distR="0" wp14:anchorId="082B6661" wp14:editId="04033E21">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p>
    <w:p w:rsidR="00F20E12" w:rsidRDefault="00F20E12" w:rsidP="003B2E8E">
      <w:pPr>
        <w:pStyle w:val="Caption"/>
        <w:jc w:val="center"/>
      </w:pPr>
      <w:bookmarkStart w:id="12" w:name="_Ref426226229"/>
      <w:r>
        <w:t>Figure</w:t>
      </w:r>
      <w:bookmarkEnd w:id="12"/>
      <w:r w:rsidR="004D4590">
        <w:t xml:space="preserve"> </w:t>
      </w:r>
      <w:r w:rsidR="004D4590" w:rsidRPr="004D4590">
        <w:t>7.4.3.4-</w:t>
      </w:r>
      <w:r w:rsidR="004D4590">
        <w:t>2</w:t>
      </w:r>
      <w:r>
        <w:t>: The LTE turbo encoder used for M-PUSCH.</w:t>
      </w:r>
    </w:p>
    <w:p w:rsidR="00F20E12" w:rsidRPr="00C26AB5" w:rsidRDefault="00F20E12" w:rsidP="004D4590">
      <w:pPr>
        <w:jc w:val="both"/>
      </w:pPr>
      <w:r>
        <w:t xml:space="preserve">Interleaving and rate matching is </w:t>
      </w:r>
      <w:r w:rsidR="004D4590">
        <w:t>the same as M-PDSCH</w:t>
      </w:r>
      <w:r>
        <w:t>, with the detail</w:t>
      </w:r>
      <w:r w:rsidR="00373232">
        <w:t>s given in section 5.1.4.1 of [9</w:t>
      </w:r>
      <w:r>
        <w:t xml:space="preserve">]. The encoded bits after rate-matching are scrambled with a scrambling mask generated according to the </w:t>
      </w:r>
      <w:r w:rsidRPr="005B5D20">
        <w:t xml:space="preserve">RNTI associated with the </w:t>
      </w:r>
      <w:r>
        <w:t>M-</w:t>
      </w:r>
      <w:r w:rsidR="00566502">
        <w:t>M-PUSCH</w:t>
      </w:r>
      <w:r w:rsidRPr="005B5D20">
        <w:t xml:space="preserve"> transmission</w:t>
      </w:r>
      <w:r>
        <w:t>, see section 7.2 of [</w:t>
      </w:r>
      <w:r w:rsidR="005D645C">
        <w:t>3</w:t>
      </w:r>
      <w:r>
        <w:t xml:space="preserve">]. The scrambled </w:t>
      </w:r>
      <w:r w:rsidR="005D645C">
        <w:t>code word</w:t>
      </w:r>
      <w:r>
        <w:t xml:space="preserve"> is modulated with BPSK or QPSK modulation according to the mapping tables </w:t>
      </w:r>
      <w:r w:rsidR="005D645C">
        <w:t xml:space="preserve">in Table </w:t>
      </w:r>
      <w:r w:rsidR="004D4590">
        <w:t xml:space="preserve">7.4.3.4-1 </w:t>
      </w:r>
      <w:r>
        <w:t>and</w:t>
      </w:r>
      <w:r w:rsidR="005D645C">
        <w:t xml:space="preserve"> Table </w:t>
      </w:r>
      <w:r w:rsidR="004D4590">
        <w:t>7.4.3.4-2</w:t>
      </w:r>
      <w:r>
        <w:t>, respectively. Whether higher order modulations such as 16-QAM and 64-QAM are used for M-PUSCH is for further study.</w:t>
      </w:r>
    </w:p>
    <w:p w:rsidR="00F20E12" w:rsidRPr="00C12953" w:rsidRDefault="00F20E12" w:rsidP="004D4590">
      <w:pPr>
        <w:pStyle w:val="Caption"/>
        <w:jc w:val="center"/>
      </w:pPr>
      <w:bookmarkStart w:id="13" w:name="_Ref426226288"/>
      <w:r>
        <w:t>Table</w:t>
      </w:r>
      <w:bookmarkEnd w:id="13"/>
      <w:r w:rsidR="004D4590">
        <w:t xml:space="preserve"> 7.4.3.4-1</w:t>
      </w:r>
      <w:r>
        <w:t>: B</w:t>
      </w:r>
      <w:r w:rsidRPr="00C12953">
        <w:t>PSK modulation mapping</w:t>
      </w:r>
    </w:p>
    <w:tbl>
      <w:tblPr>
        <w:tblW w:w="0" w:type="auto"/>
        <w:jc w:val="center"/>
        <w:tblLook w:val="01E0" w:firstRow="1" w:lastRow="1" w:firstColumn="1" w:lastColumn="1" w:noHBand="0" w:noVBand="0"/>
      </w:tblPr>
      <w:tblGrid>
        <w:gridCol w:w="578"/>
        <w:gridCol w:w="596"/>
        <w:gridCol w:w="357"/>
      </w:tblGrid>
      <w:tr w:rsidR="00F20E12"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20E12" w:rsidRPr="00C12953" w:rsidRDefault="00F20E12" w:rsidP="004D4590">
            <w:pPr>
              <w:pStyle w:val="TH"/>
              <w:spacing w:before="0" w:after="0"/>
              <w:jc w:val="both"/>
            </w:pPr>
            <m:oMathPara>
              <m:oMath>
                <m:r>
                  <m:rPr>
                    <m:sty m:val="bi"/>
                  </m:rPr>
                  <w:rPr>
                    <w:rFonts w:ascii="Cambria Math" w:hAnsi="Cambria Math"/>
                  </w:rPr>
                  <m:t>b(i)</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20E12" w:rsidRPr="005B11E1" w:rsidRDefault="00F20E12" w:rsidP="004D4590">
            <w:pPr>
              <w:pStyle w:val="TAH"/>
              <w:jc w:val="both"/>
              <w:rPr>
                <w:i/>
                <w:iCs/>
              </w:rPr>
            </w:pPr>
            <w:r w:rsidRPr="005B11E1">
              <w:rPr>
                <w:i/>
                <w:iCs/>
              </w:rPr>
              <w:t>I</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20E12" w:rsidRPr="005B11E1" w:rsidRDefault="00F20E12" w:rsidP="004D4590">
            <w:pPr>
              <w:pStyle w:val="TAH"/>
              <w:jc w:val="both"/>
              <w:rPr>
                <w:i/>
                <w:iCs/>
              </w:rPr>
            </w:pPr>
            <w:r w:rsidRPr="005B11E1">
              <w:rPr>
                <w:i/>
                <w:iCs/>
              </w:rPr>
              <w:t>Q</w:t>
            </w:r>
          </w:p>
        </w:tc>
      </w:tr>
      <w:tr w:rsidR="00F20E12"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t>0</w:t>
            </w:r>
          </w:p>
        </w:tc>
      </w:tr>
      <w:tr w:rsidR="00F20E12"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rsidRPr="00C12953">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t xml:space="preserve"> -1</w:t>
            </w:r>
            <w:r w:rsidRPr="005B11E1">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7pt" o:ole="">
                  <v:imagedata r:id="rId19" o:title=""/>
                </v:shape>
                <o:OLEObject Type="Embed" ProgID="Equation.3" ShapeID="_x0000_i1025" DrawAspect="Content" ObjectID="_1500213622"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20E12" w:rsidRPr="00C12953" w:rsidRDefault="00F20E12" w:rsidP="004D4590">
            <w:pPr>
              <w:pStyle w:val="TAC"/>
              <w:jc w:val="both"/>
            </w:pPr>
            <w:r>
              <w:t>0</w:t>
            </w:r>
          </w:p>
        </w:tc>
      </w:tr>
    </w:tbl>
    <w:p w:rsidR="00F20E12" w:rsidRPr="00C12953" w:rsidRDefault="00F20E12" w:rsidP="004D4590">
      <w:pPr>
        <w:jc w:val="both"/>
      </w:pPr>
    </w:p>
    <w:p w:rsidR="00F20E12" w:rsidRPr="00C12953" w:rsidRDefault="00F20E12" w:rsidP="004D4590">
      <w:pPr>
        <w:jc w:val="both"/>
      </w:pPr>
      <w:r>
        <w:t xml:space="preserve">The modulated symbols are grouped into the subcarriers that are allocated to an M-PUSCH. </w:t>
      </w:r>
      <w:r w:rsidRPr="005D2BAD">
        <w:rPr>
          <w:i/>
        </w:rPr>
        <w:t>Transform Precoding</w:t>
      </w:r>
      <w:r>
        <w:t xml:space="preserve"> is applied to each group as </w:t>
      </w:r>
      <w:r w:rsidR="00373232">
        <w:t>described in section 5.3.3 of [15</w:t>
      </w:r>
      <w:r>
        <w:t xml:space="preserve">] to obtain so-called frequency-domain symbols. The </w:t>
      </w:r>
      <w:r w:rsidRPr="00057BF5">
        <w:rPr>
          <w:position w:val="-6"/>
        </w:rPr>
        <w:object w:dxaOrig="139" w:dyaOrig="279">
          <v:shape id="_x0000_i1026" type="#_x0000_t75" style="width:7pt;height:14.5pt" o:ole="">
            <v:imagedata r:id="rId21" o:title=""/>
          </v:shape>
          <o:OLEObject Type="Embed" ProgID="Equation.3" ShapeID="_x0000_i1026" DrawAspect="Content" ObjectID="_1500213623" r:id="rId22"/>
        </w:object>
      </w:r>
      <w:proofErr w:type="spellStart"/>
      <w:proofErr w:type="gramStart"/>
      <w:r>
        <w:t>th</w:t>
      </w:r>
      <w:proofErr w:type="spellEnd"/>
      <w:proofErr w:type="gramEnd"/>
      <w:r>
        <w:t xml:space="preserve"> SC-FDMA baseband time-continuous signal is generated based on frequency-domain symbols as described below.</w:t>
      </w:r>
      <w:r w:rsidRPr="00C12953">
        <w:t xml:space="preserve"> </w:t>
      </w:r>
    </w:p>
    <w:p w:rsidR="00F20E12" w:rsidRPr="00C12953" w:rsidRDefault="00F20E12" w:rsidP="00F20E12">
      <w:pPr>
        <w:pStyle w:val="EQ"/>
        <w:jc w:val="center"/>
      </w:pPr>
      <w:r w:rsidRPr="00C26AB5">
        <w:rPr>
          <w:position w:val="-28"/>
        </w:rPr>
        <w:object w:dxaOrig="3240" w:dyaOrig="680">
          <v:shape id="_x0000_i1027" type="#_x0000_t75" style="width:162pt;height:34pt" o:ole="">
            <v:imagedata r:id="rId23" o:title=""/>
          </v:shape>
          <o:OLEObject Type="Embed" ProgID="Equation.3" ShapeID="_x0000_i1027" DrawAspect="Content" ObjectID="_1500213624" r:id="rId24"/>
        </w:object>
      </w:r>
      <w:r w:rsidR="005D645C">
        <w:tab/>
      </w:r>
    </w:p>
    <w:p w:rsidR="00F20E12" w:rsidRPr="00C12953" w:rsidRDefault="00F20E12" w:rsidP="004D4590">
      <w:pPr>
        <w:jc w:val="both"/>
      </w:pPr>
      <w:proofErr w:type="gramStart"/>
      <w:r w:rsidRPr="00C12953">
        <w:t>for</w:t>
      </w:r>
      <w:proofErr w:type="gramEnd"/>
      <w:r w:rsidRPr="00C12953">
        <w:rPr>
          <w:position w:val="-12"/>
          <w:sz w:val="10"/>
          <w:szCs w:val="10"/>
        </w:rPr>
        <w:object w:dxaOrig="1840" w:dyaOrig="320">
          <v:shape id="_x0000_i1028" type="#_x0000_t75" style="width:92.5pt;height:16.5pt" o:ole="">
            <v:imagedata r:id="rId25" o:title=""/>
          </v:shape>
          <o:OLEObject Type="Embed" ProgID="Equation.3" ShapeID="_x0000_i1028" DrawAspect="Content" ObjectID="_1500213625" r:id="rId26"/>
        </w:object>
      </w:r>
      <w:r w:rsidRPr="00C12953">
        <w:t xml:space="preserve"> </w:t>
      </w:r>
      <w:r>
        <w:t xml:space="preserve">where, </w:t>
      </w:r>
      <w:r w:rsidRPr="00E123D4">
        <w:rPr>
          <w:position w:val="-4"/>
        </w:rPr>
        <w:object w:dxaOrig="320" w:dyaOrig="260">
          <v:shape id="_x0000_i1029" type="#_x0000_t75" style="width:16.5pt;height:14pt" o:ole="">
            <v:imagedata r:id="rId27" o:title=""/>
          </v:shape>
          <o:OLEObject Type="Embed" ProgID="Equation.3" ShapeID="_x0000_i1029" DrawAspect="Content" ObjectID="_1500213626" r:id="rId28"/>
        </w:object>
      </w:r>
      <w:r>
        <w:t xml:space="preserve"> is the number of subcarriers allocated to M-PUSCH, </w:t>
      </w:r>
      <w:r w:rsidRPr="00C7537A">
        <w:rPr>
          <w:position w:val="-6"/>
        </w:rPr>
        <w:object w:dxaOrig="840" w:dyaOrig="279">
          <v:shape id="_x0000_i1030" type="#_x0000_t75" style="width:42pt;height:14.5pt" o:ole="">
            <v:imagedata r:id="rId29" o:title=""/>
          </v:shape>
          <o:OLEObject Type="Embed" ProgID="Equation.3" ShapeID="_x0000_i1030" DrawAspect="Content" ObjectID="_1500213627" r:id="rId30"/>
        </w:object>
      </w:r>
      <w:r>
        <w:t xml:space="preserve">, </w:t>
      </w:r>
      <w:r w:rsidRPr="004972BC">
        <w:rPr>
          <w:position w:val="-10"/>
        </w:rPr>
        <w:object w:dxaOrig="1320" w:dyaOrig="320">
          <v:shape id="_x0000_i1031" type="#_x0000_t75" style="width:65.5pt;height:16.5pt" o:ole="">
            <v:imagedata r:id="rId31" o:title=""/>
          </v:shape>
          <o:OLEObject Type="Embed" ProgID="Equation.3" ShapeID="_x0000_i1031" DrawAspect="Content" ObjectID="_1500213628" r:id="rId32"/>
        </w:object>
      </w:r>
      <w:r>
        <w:t xml:space="preserve">, </w:t>
      </w:r>
      <w:r w:rsidRPr="00C12953">
        <w:rPr>
          <w:position w:val="-12"/>
          <w:sz w:val="10"/>
          <w:szCs w:val="10"/>
        </w:rPr>
        <w:object w:dxaOrig="1500" w:dyaOrig="360">
          <v:shape id="_x0000_i1032" type="#_x0000_t75" style="width:74pt;height:17.5pt" o:ole="">
            <v:imagedata r:id="rId33" o:title=""/>
          </v:shape>
          <o:OLEObject Type="Embed" ProgID="Equation.3" ShapeID="_x0000_i1032" DrawAspect="Content" ObjectID="_1500213629" r:id="rId34"/>
        </w:object>
      </w:r>
      <w:r>
        <w:t xml:space="preserve"> and </w:t>
      </w:r>
      <w:r>
        <w:rPr>
          <w:position w:val="-14"/>
        </w:rPr>
        <w:object w:dxaOrig="360" w:dyaOrig="380">
          <v:shape id="_x0000_i1033" type="#_x0000_t75" style="width:18pt;height:19pt" o:ole="">
            <v:imagedata r:id="rId35" o:title=""/>
          </v:shape>
          <o:OLEObject Type="Embed" ProgID="Equation.3" ShapeID="_x0000_i1033" DrawAspect="Content" ObjectID="_1500213630" r:id="rId36"/>
        </w:object>
      </w:r>
      <w:r>
        <w:t xml:space="preserve"> is the frequency-domain symbol on subcarrier </w:t>
      </w:r>
      <w:r w:rsidRPr="00C26AB5">
        <w:rPr>
          <w:position w:val="-6"/>
        </w:rPr>
        <w:object w:dxaOrig="940" w:dyaOrig="279">
          <v:shape id="_x0000_i1034" type="#_x0000_t75" style="width:47.5pt;height:14.5pt" o:ole="">
            <v:imagedata r:id="rId37" o:title=""/>
          </v:shape>
          <o:OLEObject Type="Embed" ProgID="Equation.3" ShapeID="_x0000_i1034" DrawAspect="Content" ObjectID="_1500213631" r:id="rId38"/>
        </w:object>
      </w:r>
      <w:r>
        <w:t xml:space="preserve"> of the </w:t>
      </w:r>
      <w:r w:rsidRPr="005D2BAD">
        <w:rPr>
          <w:position w:val="-6"/>
        </w:rPr>
        <w:object w:dxaOrig="139" w:dyaOrig="279">
          <v:shape id="_x0000_i1035" type="#_x0000_t75" style="width:7pt;height:14.5pt" o:ole="">
            <v:imagedata r:id="rId21" o:title=""/>
          </v:shape>
          <o:OLEObject Type="Embed" ProgID="Equation.3" ShapeID="_x0000_i1035" DrawAspect="Content" ObjectID="_1500213632" r:id="rId39"/>
        </w:object>
      </w:r>
      <w:proofErr w:type="spellStart"/>
      <w:r>
        <w:t>th</w:t>
      </w:r>
      <w:proofErr w:type="spellEnd"/>
      <w:r>
        <w:t xml:space="preserve"> SC-FDMA symbol</w:t>
      </w:r>
      <w:r w:rsidRPr="00C12953">
        <w:t>.</w:t>
      </w:r>
      <w:r>
        <w:t xml:space="preserve"> </w:t>
      </w:r>
      <w:r w:rsidR="005D645C">
        <w:t xml:space="preserve">Table xxx </w:t>
      </w:r>
      <w:r w:rsidRPr="00C12953">
        <w:t>list</w:t>
      </w:r>
      <w:r>
        <w:t>s</w:t>
      </w:r>
      <w:r w:rsidRPr="00C12953">
        <w:t xml:space="preserve"> the values of </w:t>
      </w:r>
      <w:r w:rsidRPr="00C12953">
        <w:rPr>
          <w:position w:val="-12"/>
        </w:rPr>
        <w:object w:dxaOrig="499" w:dyaOrig="320">
          <v:shape id="_x0000_i1036" type="#_x0000_t75" style="width:24.5pt;height:16.5pt" o:ole="">
            <v:imagedata r:id="rId40" o:title=""/>
          </v:shape>
          <o:OLEObject Type="Embed" ProgID="Equation.3" ShapeID="_x0000_i1036" DrawAspect="Content" ObjectID="_1500213633" r:id="rId41"/>
        </w:object>
      </w:r>
      <w:r w:rsidRPr="00C12953">
        <w:t>that shall be used.</w:t>
      </w:r>
      <w:r>
        <w:t xml:space="preserve"> For the special case </w:t>
      </w:r>
      <w:proofErr w:type="gramStart"/>
      <w:r w:rsidR="00CC7229">
        <w:t xml:space="preserve">of </w:t>
      </w:r>
      <w:proofErr w:type="gramEnd"/>
      <w:r w:rsidRPr="00E123D4">
        <w:rPr>
          <w:position w:val="-4"/>
        </w:rPr>
        <w:object w:dxaOrig="639" w:dyaOrig="260">
          <v:shape id="_x0000_i1037" type="#_x0000_t75" style="width:32pt;height:14pt" o:ole="">
            <v:imagedata r:id="rId42" o:title=""/>
          </v:shape>
          <o:OLEObject Type="Embed" ProgID="Equation.3" ShapeID="_x0000_i1037" DrawAspect="Content" ObjectID="_1500213634" r:id="rId43"/>
        </w:object>
      </w:r>
      <w:r>
        <w:t xml:space="preserve">, The </w:t>
      </w:r>
      <w:r w:rsidRPr="00057BF5">
        <w:rPr>
          <w:position w:val="-6"/>
        </w:rPr>
        <w:object w:dxaOrig="139" w:dyaOrig="279">
          <v:shape id="_x0000_i1038" type="#_x0000_t75" style="width:7pt;height:14.5pt" o:ole="">
            <v:imagedata r:id="rId21" o:title=""/>
          </v:shape>
          <o:OLEObject Type="Embed" ProgID="Equation.3" ShapeID="_x0000_i1038" DrawAspect="Content" ObjectID="_1500213635" r:id="rId44"/>
        </w:object>
      </w:r>
      <w:proofErr w:type="spellStart"/>
      <w:r>
        <w:t>th</w:t>
      </w:r>
      <w:proofErr w:type="spellEnd"/>
      <w:r>
        <w:t xml:space="preserve"> SC-FDMA baseband time-continuous signal is generated based on frequency-domain symbols as described below.</w:t>
      </w:r>
      <w:r w:rsidRPr="00C12953">
        <w:t xml:space="preserve"> </w:t>
      </w:r>
    </w:p>
    <w:p w:rsidR="00F20E12" w:rsidRDefault="00F20E12" w:rsidP="00F20E12">
      <w:pPr>
        <w:ind w:left="1440" w:firstLine="720"/>
      </w:pPr>
      <w:r w:rsidRPr="00E123D4">
        <w:rPr>
          <w:position w:val="-14"/>
        </w:rPr>
        <w:object w:dxaOrig="2320" w:dyaOrig="420">
          <v:shape id="_x0000_i1039" type="#_x0000_t75" style="width:116pt;height:22pt" o:ole="">
            <v:imagedata r:id="rId45" o:title=""/>
          </v:shape>
          <o:OLEObject Type="Embed" ProgID="Equation.3" ShapeID="_x0000_i1039" DrawAspect="Content" ObjectID="_1500213636" r:id="rId46"/>
        </w:object>
      </w:r>
      <w:r w:rsidR="005D645C">
        <w:tab/>
      </w:r>
      <w:r w:rsidR="005D645C">
        <w:tab/>
      </w:r>
      <w:r w:rsidR="005D645C">
        <w:tab/>
      </w:r>
    </w:p>
    <w:p w:rsidR="00F20E12" w:rsidRDefault="00F20E12" w:rsidP="004D4590">
      <w:pPr>
        <w:pStyle w:val="Caption"/>
        <w:jc w:val="center"/>
      </w:pPr>
      <w:bookmarkStart w:id="14" w:name="_Ref426130341"/>
      <w:r>
        <w:t>Table</w:t>
      </w:r>
      <w:bookmarkEnd w:id="14"/>
      <w:r w:rsidR="004D4590">
        <w:t xml:space="preserve"> 7.4.3.4-2</w:t>
      </w:r>
      <w:r>
        <w:t>: SC-FDMA CP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7"/>
      </w:tblGrid>
      <w:tr w:rsidR="00F20E12" w:rsidTr="00CF7761">
        <w:trPr>
          <w:cantSplit/>
          <w:jc w:val="center"/>
        </w:trPr>
        <w:tc>
          <w:tcPr>
            <w:tcW w:w="0" w:type="auto"/>
            <w:shd w:val="clear" w:color="auto" w:fill="E0E0E0"/>
            <w:vAlign w:val="center"/>
          </w:tcPr>
          <w:p w:rsidR="00F20E12" w:rsidRDefault="00F20E12" w:rsidP="00CF7761">
            <w:pPr>
              <w:pStyle w:val="TAH"/>
            </w:pPr>
            <w:r>
              <w:lastRenderedPageBreak/>
              <w:t>Configuration</w:t>
            </w:r>
          </w:p>
        </w:tc>
        <w:tc>
          <w:tcPr>
            <w:tcW w:w="0" w:type="auto"/>
            <w:shd w:val="clear" w:color="auto" w:fill="E0E0E0"/>
            <w:vAlign w:val="center"/>
          </w:tcPr>
          <w:p w:rsidR="00F20E12" w:rsidRDefault="00F20E12" w:rsidP="00CF7761">
            <w:pPr>
              <w:pStyle w:val="TAH"/>
            </w:pPr>
            <w:r>
              <w:t xml:space="preserve">Cyclic prefix length </w:t>
            </w:r>
            <w:r w:rsidRPr="005B11E1">
              <w:rPr>
                <w:position w:val="-12"/>
              </w:rPr>
              <w:object w:dxaOrig="499" w:dyaOrig="320">
                <v:shape id="_x0000_i1040" type="#_x0000_t75" style="width:24.5pt;height:16.5pt" o:ole="">
                  <v:imagedata r:id="rId40" o:title=""/>
                </v:shape>
                <o:OLEObject Type="Embed" ProgID="Equation.3" ShapeID="_x0000_i1040" DrawAspect="Content" ObjectID="_1500213637" r:id="rId47"/>
              </w:object>
            </w:r>
          </w:p>
        </w:tc>
      </w:tr>
      <w:tr w:rsidR="00F20E12" w:rsidTr="00CF7761">
        <w:trPr>
          <w:cantSplit/>
          <w:jc w:val="center"/>
        </w:trPr>
        <w:tc>
          <w:tcPr>
            <w:tcW w:w="0" w:type="auto"/>
            <w:shd w:val="clear" w:color="auto" w:fill="auto"/>
            <w:vAlign w:val="center"/>
          </w:tcPr>
          <w:p w:rsidR="00F20E12" w:rsidRDefault="00F20E12" w:rsidP="00CF7761">
            <w:pPr>
              <w:pStyle w:val="TAL"/>
            </w:pPr>
            <w:r w:rsidRPr="00C12953">
              <w:t>Normal cyclic prefix</w:t>
            </w:r>
          </w:p>
        </w:tc>
        <w:tc>
          <w:tcPr>
            <w:tcW w:w="0" w:type="auto"/>
            <w:shd w:val="clear" w:color="auto" w:fill="auto"/>
            <w:vAlign w:val="center"/>
          </w:tcPr>
          <w:p w:rsidR="00F20E12" w:rsidRDefault="00F20E12" w:rsidP="00CF7761">
            <w:pPr>
              <w:pStyle w:val="TAL"/>
            </w:pPr>
            <w:r w:rsidRPr="005B11E1">
              <w:rPr>
                <w:position w:val="-6"/>
              </w:rPr>
              <w:object w:dxaOrig="1219" w:dyaOrig="279">
                <v:shape id="_x0000_i1041" type="#_x0000_t75" style="width:61.5pt;height:14.5pt" o:ole="">
                  <v:imagedata r:id="rId48" o:title=""/>
                </v:shape>
                <o:OLEObject Type="Embed" ProgID="Equation.3" ShapeID="_x0000_i1041" DrawAspect="Content" ObjectID="_1500213638" r:id="rId49"/>
              </w:object>
            </w:r>
          </w:p>
          <w:p w:rsidR="00F20E12" w:rsidRDefault="00F20E12" w:rsidP="00CF7761">
            <w:pPr>
              <w:pStyle w:val="TAL"/>
            </w:pPr>
            <w:r w:rsidRPr="007D36D9">
              <w:rPr>
                <w:position w:val="-10"/>
              </w:rPr>
              <w:object w:dxaOrig="1680" w:dyaOrig="320">
                <v:shape id="_x0000_i1042" type="#_x0000_t75" style="width:84.5pt;height:16.5pt" o:ole="">
                  <v:imagedata r:id="rId50" o:title=""/>
                </v:shape>
                <o:OLEObject Type="Embed" ProgID="Equation.3" ShapeID="_x0000_i1042" DrawAspect="Content" ObjectID="_1500213639" r:id="rId51"/>
              </w:object>
            </w:r>
          </w:p>
        </w:tc>
      </w:tr>
    </w:tbl>
    <w:p w:rsidR="00F20E12" w:rsidRDefault="00F20E12" w:rsidP="00F20E12"/>
    <w:p w:rsidR="006341D0" w:rsidRPr="006341D0" w:rsidRDefault="00F20E12" w:rsidP="004D4590">
      <w:pPr>
        <w:jc w:val="both"/>
        <w:rPr>
          <w:rFonts w:eastAsiaTheme="minorEastAsia"/>
        </w:rPr>
      </w:pPr>
      <w:r>
        <w:t xml:space="preserve">Note that both equations (2) and (3) are essentially the same as how LTE </w:t>
      </w:r>
      <w:r w:rsidRPr="00E75F21">
        <w:t xml:space="preserve">SC-FDMA baseband signal </w:t>
      </w:r>
      <w:r>
        <w:t xml:space="preserve">is </w:t>
      </w:r>
      <w:r w:rsidRPr="00E75F21">
        <w:t>generat</w:t>
      </w:r>
      <w:r>
        <w:t xml:space="preserve">ed according to </w:t>
      </w:r>
      <w:r w:rsidR="00373232">
        <w:t>[15</w:t>
      </w:r>
      <w:r>
        <w:t>], except for different parameters such as subcarrier spacing (</w:t>
      </w:r>
      <w:r w:rsidRPr="004972BC">
        <w:rPr>
          <w:position w:val="-10"/>
        </w:rPr>
        <w:object w:dxaOrig="340" w:dyaOrig="320">
          <v:shape id="_x0000_i1043" type="#_x0000_t75" style="width:17pt;height:16.5pt" o:ole="">
            <v:imagedata r:id="rId52" o:title=""/>
          </v:shape>
          <o:OLEObject Type="Embed" ProgID="Equation.3" ShapeID="_x0000_i1043" DrawAspect="Content" ObjectID="_1500213640" r:id="rId53"/>
        </w:object>
      </w:r>
      <w:r>
        <w:t>), sampling time (</w:t>
      </w:r>
      <w:r w:rsidRPr="00C12953">
        <w:rPr>
          <w:position w:val="-12"/>
          <w:sz w:val="10"/>
          <w:szCs w:val="10"/>
        </w:rPr>
        <w:object w:dxaOrig="240" w:dyaOrig="360">
          <v:shape id="_x0000_i1044" type="#_x0000_t75" style="width:12.5pt;height:17.5pt" o:ole="">
            <v:imagedata r:id="rId54" o:title=""/>
          </v:shape>
          <o:OLEObject Type="Embed" ProgID="Equation.3" ShapeID="_x0000_i1044" DrawAspect="Content" ObjectID="_1500213641" r:id="rId55"/>
        </w:object>
      </w:r>
      <w:r>
        <w:t>), CP values, number of time-domain samples before CP insertion (N), and number of subcarriers that can be allocated to M-PUSCH.</w:t>
      </w:r>
    </w:p>
    <w:p w:rsidR="006341D0" w:rsidRPr="006341D0" w:rsidRDefault="006341D0" w:rsidP="006341D0">
      <w:pPr>
        <w:rPr>
          <w:rFonts w:eastAsiaTheme="minorEastAsia"/>
        </w:rPr>
      </w:pPr>
    </w:p>
    <w:sectPr w:rsidR="006341D0" w:rsidRPr="006341D0" w:rsidSect="00FB4AB3">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161" w:rsidRDefault="00600161">
      <w:r>
        <w:separator/>
      </w:r>
    </w:p>
  </w:endnote>
  <w:endnote w:type="continuationSeparator" w:id="0">
    <w:p w:rsidR="00600161" w:rsidRDefault="0060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161" w:rsidRDefault="00600161">
      <w:r>
        <w:separator/>
      </w:r>
    </w:p>
  </w:footnote>
  <w:footnote w:type="continuationSeparator" w:id="0">
    <w:p w:rsidR="00600161" w:rsidRDefault="00600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0C3155">
      <w:rPr>
        <w:lang w:val="es-ES"/>
      </w:rPr>
      <w:t>792</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2A765F" w:rsidRPr="002A765F">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43B1"/>
    <w:rsid w:val="00194FD5"/>
    <w:rsid w:val="001960DD"/>
    <w:rsid w:val="00197C10"/>
    <w:rsid w:val="001A08AA"/>
    <w:rsid w:val="001A15E9"/>
    <w:rsid w:val="001A4967"/>
    <w:rsid w:val="001A68C3"/>
    <w:rsid w:val="001B03C9"/>
    <w:rsid w:val="001B128A"/>
    <w:rsid w:val="001B1429"/>
    <w:rsid w:val="001B4C27"/>
    <w:rsid w:val="001B5B8A"/>
    <w:rsid w:val="001B75B1"/>
    <w:rsid w:val="001B7F63"/>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16E8"/>
    <w:rsid w:val="005E3D9A"/>
    <w:rsid w:val="005E7678"/>
    <w:rsid w:val="005F315C"/>
    <w:rsid w:val="005F465C"/>
    <w:rsid w:val="005F485B"/>
    <w:rsid w:val="005F61C0"/>
    <w:rsid w:val="005F7C33"/>
    <w:rsid w:val="00600032"/>
    <w:rsid w:val="00600161"/>
    <w:rsid w:val="0060018D"/>
    <w:rsid w:val="00600F5A"/>
    <w:rsid w:val="006017B5"/>
    <w:rsid w:val="0060341C"/>
    <w:rsid w:val="00604C52"/>
    <w:rsid w:val="00604D01"/>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D71"/>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C7229"/>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0E12"/>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4.wmf"/><Relationship Id="rId55" Type="http://schemas.openxmlformats.org/officeDocument/2006/relationships/oleObject" Target="embeddings/oleObject20.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19.bin"/><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6.bin"/><Relationship Id="rId35" Type="http://schemas.openxmlformats.org/officeDocument/2006/relationships/image" Target="media/image18.wmf"/><Relationship Id="rId43" Type="http://schemas.openxmlformats.org/officeDocument/2006/relationships/oleObject" Target="embeddings/oleObject13.bin"/><Relationship Id="rId48" Type="http://schemas.openxmlformats.org/officeDocument/2006/relationships/image" Target="media/image23.wmf"/><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B4D0B-4B1B-4975-956B-4D984555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14766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Y.-P. Eric Wang</cp:lastModifiedBy>
  <cp:revision>12</cp:revision>
  <dcterms:created xsi:type="dcterms:W3CDTF">2015-08-04T19:37:00Z</dcterms:created>
  <dcterms:modified xsi:type="dcterms:W3CDTF">2015-08-05T00:13:00Z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